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6 -->
  <w:body>
    <w:p w:rsidR="00CB176C">
      <w:pPr>
        <w:snapToGrid w:val="0"/>
        <w:spacing w:after="156" w:afterLines="50" w:line="288" w:lineRule="auto"/>
        <w:jc w:val="center"/>
        <w:rPr>
          <w:rFonts w:ascii="宋体" w:hAnsi="宋体" w:cs="Arial"/>
          <w:sz w:val="24"/>
        </w:rPr>
      </w:pPr>
    </w:p>
    <w:p w:rsidR="00CB176C">
      <w:pPr>
        <w:snapToGrid w:val="0"/>
        <w:spacing w:after="156" w:afterLines="50" w:line="288" w:lineRule="auto"/>
        <w:jc w:val="center"/>
        <w:rPr>
          <w:rFonts w:ascii="宋体" w:hAnsi="宋体" w:cs="Arial"/>
          <w:sz w:val="24"/>
        </w:rPr>
      </w:pPr>
    </w:p>
    <w:p w:rsidR="00CB176C">
      <w:pPr>
        <w:snapToGrid w:val="0"/>
        <w:spacing w:after="156" w:afterLines="50" w:line="288" w:lineRule="auto"/>
        <w:jc w:val="center"/>
        <w:rPr>
          <w:rFonts w:ascii="宋体" w:hAnsi="宋体" w:cs="Arial"/>
          <w:sz w:val="24"/>
        </w:rPr>
      </w:pPr>
    </w:p>
    <w:p w:rsidR="00CB176C">
      <w:pPr>
        <w:snapToGrid w:val="0"/>
        <w:spacing w:after="156" w:afterLines="50" w:line="288" w:lineRule="auto"/>
        <w:jc w:val="center"/>
        <w:rPr>
          <w:rFonts w:ascii="宋体" w:hAnsi="宋体" w:cs="Arial"/>
          <w:sz w:val="24"/>
        </w:rPr>
      </w:pPr>
    </w:p>
    <w:p w:rsidR="00CB176C">
      <w:pPr>
        <w:snapToGrid w:val="0"/>
        <w:spacing w:after="156" w:afterLines="50" w:line="288" w:lineRule="auto"/>
        <w:jc w:val="center"/>
        <w:rPr>
          <w:rFonts w:ascii="宋体" w:hAnsi="宋体" w:cs="Arial"/>
          <w:sz w:val="24"/>
        </w:rPr>
      </w:pPr>
    </w:p>
    <w:p w:rsidR="00CB176C">
      <w:pPr>
        <w:snapToGrid w:val="0"/>
        <w:spacing w:after="156" w:afterLines="50" w:line="288" w:lineRule="auto"/>
        <w:jc w:val="center"/>
        <w:rPr>
          <w:rFonts w:ascii="宋体" w:hAnsi="宋体" w:cs="Arial"/>
          <w:sz w:val="24"/>
        </w:rPr>
      </w:pPr>
    </w:p>
    <w:p w:rsidR="00CB176C">
      <w:pPr>
        <w:snapToGrid w:val="0"/>
        <w:spacing w:after="156" w:afterLines="50" w:line="288" w:lineRule="auto"/>
        <w:jc w:val="center"/>
        <w:rPr>
          <w:rFonts w:ascii="宋体" w:hAnsi="宋体" w:cs="Arial"/>
          <w:sz w:val="24"/>
        </w:rPr>
      </w:pPr>
    </w:p>
    <w:p w:rsidR="00CB176C">
      <w:pPr>
        <w:snapToGrid w:val="0"/>
        <w:jc w:val="center"/>
        <w:rPr>
          <w:rFonts w:ascii="宋体" w:hAnsi="宋体" w:cs="宋体"/>
          <w:b/>
          <w:sz w:val="44"/>
          <w:lang w:eastAsia="zh-CN"/>
        </w:rPr>
      </w:pPr>
      <w:r>
        <w:rPr>
          <w:rFonts w:ascii="宋体" w:hAnsi="宋体" w:cs="宋体" w:hint="eastAsia"/>
          <w:b/>
          <w:sz w:val="44"/>
          <w:lang w:eastAsia="zh-CN"/>
        </w:rPr>
        <w:t>易方达港股通消费混合型证券投资基金</w:t>
      </w:r>
    </w:p>
    <w:p w:rsidR="00CB176C">
      <w:pPr>
        <w:snapToGrid w:val="0"/>
        <w:spacing w:after="156" w:afterLines="50" w:line="288" w:lineRule="auto"/>
        <w:jc w:val="center"/>
        <w:rPr>
          <w:rFonts w:ascii="宋体" w:hAnsi="宋体" w:cs="Arial"/>
          <w:b/>
          <w:sz w:val="44"/>
          <w:lang w:eastAsia="zh-CN"/>
        </w:rPr>
      </w:pPr>
      <w:r>
        <w:rPr>
          <w:rFonts w:ascii="宋体" w:hAnsi="宋体" w:cs="Arial" w:hint="eastAsia"/>
          <w:b/>
          <w:sz w:val="44"/>
          <w:highlight w:val="white"/>
          <w:lang w:eastAsia="zh-CN"/>
        </w:rPr>
        <w:t>托管协议</w:t>
      </w:r>
    </w:p>
    <w:p w:rsidR="00CB176C">
      <w:pPr>
        <w:snapToGrid w:val="0"/>
        <w:spacing w:after="156" w:afterLines="50" w:line="288" w:lineRule="auto"/>
        <w:jc w:val="center"/>
        <w:outlineLvl w:val="0"/>
        <w:rPr>
          <w:rFonts w:ascii="宋体" w:hAnsi="宋体" w:cs="Arial"/>
          <w:sz w:val="24"/>
          <w:lang w:eastAsia="zh-CN"/>
        </w:rPr>
      </w:pPr>
    </w:p>
    <w:p w:rsidR="00CB176C">
      <w:pPr>
        <w:snapToGrid w:val="0"/>
        <w:spacing w:after="156" w:afterLines="50" w:line="288" w:lineRule="auto"/>
        <w:jc w:val="center"/>
        <w:outlineLvl w:val="0"/>
        <w:rPr>
          <w:rFonts w:ascii="宋体" w:hAnsi="宋体" w:cs="Arial"/>
          <w:sz w:val="24"/>
          <w:lang w:eastAsia="zh-CN"/>
        </w:rPr>
      </w:pPr>
    </w:p>
    <w:p w:rsidR="00CB176C">
      <w:pPr>
        <w:snapToGrid w:val="0"/>
        <w:spacing w:after="156" w:afterLines="50" w:line="288" w:lineRule="auto"/>
        <w:jc w:val="center"/>
        <w:outlineLvl w:val="0"/>
        <w:rPr>
          <w:rFonts w:ascii="宋体" w:hAnsi="宋体" w:cs="Arial"/>
          <w:sz w:val="24"/>
          <w:lang w:eastAsia="zh-CN"/>
        </w:rPr>
      </w:pPr>
    </w:p>
    <w:p w:rsidR="00CB176C">
      <w:pPr>
        <w:snapToGrid w:val="0"/>
        <w:spacing w:after="156" w:afterLines="50" w:line="288" w:lineRule="auto"/>
        <w:jc w:val="center"/>
        <w:outlineLvl w:val="0"/>
        <w:rPr>
          <w:rFonts w:ascii="宋体" w:hAnsi="宋体" w:cs="Arial"/>
          <w:sz w:val="24"/>
          <w:lang w:eastAsia="zh-CN"/>
        </w:rPr>
      </w:pPr>
    </w:p>
    <w:p w:rsidR="00CB176C">
      <w:pPr>
        <w:snapToGrid w:val="0"/>
        <w:spacing w:after="156" w:afterLines="50" w:line="288" w:lineRule="auto"/>
        <w:jc w:val="center"/>
        <w:outlineLvl w:val="0"/>
        <w:rPr>
          <w:rFonts w:ascii="宋体" w:hAnsi="宋体" w:cs="Arial"/>
          <w:sz w:val="24"/>
          <w:lang w:eastAsia="zh-CN"/>
        </w:rPr>
      </w:pPr>
    </w:p>
    <w:p w:rsidR="00CB176C">
      <w:pPr>
        <w:snapToGrid w:val="0"/>
        <w:spacing w:after="156" w:afterLines="50" w:line="288" w:lineRule="auto"/>
        <w:jc w:val="center"/>
        <w:outlineLvl w:val="0"/>
        <w:rPr>
          <w:rFonts w:ascii="宋体" w:hAnsi="宋体" w:cs="Arial"/>
          <w:sz w:val="24"/>
          <w:lang w:eastAsia="zh-CN"/>
        </w:rPr>
      </w:pPr>
    </w:p>
    <w:p w:rsidR="00CB176C">
      <w:pPr>
        <w:snapToGrid w:val="0"/>
        <w:spacing w:after="156" w:afterLines="50" w:line="288" w:lineRule="auto"/>
        <w:jc w:val="center"/>
        <w:outlineLvl w:val="0"/>
        <w:rPr>
          <w:rFonts w:ascii="宋体" w:hAnsi="宋体" w:cs="Arial"/>
          <w:sz w:val="24"/>
          <w:lang w:eastAsia="zh-CN"/>
        </w:rPr>
      </w:pPr>
    </w:p>
    <w:p w:rsidR="00CB176C">
      <w:pPr>
        <w:snapToGrid w:val="0"/>
        <w:spacing w:after="156" w:afterLines="50" w:line="288" w:lineRule="auto"/>
        <w:jc w:val="center"/>
        <w:outlineLvl w:val="0"/>
        <w:rPr>
          <w:rFonts w:ascii="宋体" w:hAnsi="宋体" w:cs="Arial"/>
          <w:sz w:val="24"/>
          <w:lang w:eastAsia="zh-CN"/>
        </w:rPr>
      </w:pPr>
    </w:p>
    <w:p w:rsidR="00CB176C">
      <w:pPr>
        <w:snapToGrid w:val="0"/>
        <w:spacing w:after="156" w:afterLines="50" w:line="288" w:lineRule="auto"/>
        <w:outlineLvl w:val="0"/>
        <w:rPr>
          <w:rFonts w:ascii="宋体" w:hAnsi="宋体" w:cs="Arial"/>
          <w:b/>
          <w:bCs/>
          <w:sz w:val="28"/>
          <w:lang w:eastAsia="zh-CN"/>
        </w:rPr>
      </w:pPr>
      <w:r>
        <w:rPr>
          <w:rFonts w:ascii="宋体" w:hAnsi="宋体" w:cs="Arial" w:hint="eastAsia"/>
          <w:sz w:val="24"/>
          <w:highlight w:val="white"/>
          <w:lang w:eastAsia="zh-CN"/>
        </w:rPr>
        <w:t xml:space="preserve">                 </w:t>
      </w:r>
      <w:r>
        <w:rPr>
          <w:rFonts w:ascii="宋体" w:hAnsi="宋体" w:cs="Arial" w:hint="eastAsia"/>
          <w:b/>
          <w:bCs/>
          <w:sz w:val="28"/>
          <w:highlight w:val="white"/>
          <w:lang w:eastAsia="zh-CN"/>
        </w:rPr>
        <w:t>基金管理人：易方达基金管理有限公司</w:t>
      </w:r>
    </w:p>
    <w:p w:rsidR="00CB176C">
      <w:pPr>
        <w:snapToGrid w:val="0"/>
        <w:spacing w:after="156" w:afterLines="50" w:line="288" w:lineRule="auto"/>
        <w:outlineLvl w:val="0"/>
        <w:rPr>
          <w:rFonts w:ascii="宋体" w:hAnsi="宋体" w:cs="Arial"/>
          <w:b/>
          <w:bCs/>
          <w:sz w:val="28"/>
          <w:lang w:eastAsia="zh-CN"/>
        </w:rPr>
      </w:pPr>
      <w:r>
        <w:rPr>
          <w:rFonts w:ascii="宋体" w:hAnsi="宋体" w:cs="Arial" w:hint="eastAsia"/>
          <w:sz w:val="24"/>
          <w:highlight w:val="white"/>
          <w:lang w:eastAsia="zh-CN"/>
        </w:rPr>
        <w:t xml:space="preserve">                 </w:t>
      </w:r>
      <w:r>
        <w:rPr>
          <w:rFonts w:ascii="宋体" w:hAnsi="宋体" w:cs="Arial" w:hint="eastAsia"/>
          <w:b/>
          <w:bCs/>
          <w:sz w:val="28"/>
          <w:highlight w:val="white"/>
          <w:lang w:eastAsia="zh-CN"/>
        </w:rPr>
        <w:t>基金托管人：</w:t>
      </w:r>
      <w:r>
        <w:rPr>
          <w:rFonts w:ascii="宋体" w:hAnsi="宋体" w:cs="Arial"/>
          <w:b/>
          <w:bCs/>
          <w:sz w:val="28"/>
          <w:highlight w:val="white"/>
          <w:lang w:eastAsia="zh-CN"/>
        </w:rPr>
        <w:t>汇丰银行（中国）有限公司</w:t>
      </w:r>
    </w:p>
    <w:p w:rsidR="00CB176C">
      <w:pPr>
        <w:snapToGrid w:val="0"/>
        <w:spacing w:after="156" w:afterLines="50" w:line="288" w:lineRule="auto"/>
        <w:outlineLvl w:val="0"/>
        <w:rPr>
          <w:rFonts w:ascii="宋体" w:hAnsi="宋体" w:cs="Arial"/>
          <w:sz w:val="24"/>
          <w:lang w:eastAsia="zh-CN"/>
        </w:rPr>
      </w:pPr>
      <w:r>
        <w:rPr>
          <w:rFonts w:ascii="宋体" w:hAnsi="宋体" w:cs="Arial" w:hint="eastAsia"/>
          <w:sz w:val="24"/>
          <w:highlight w:val="white"/>
          <w:lang w:eastAsia="zh-CN"/>
        </w:rPr>
        <w:t xml:space="preserve">                            </w:t>
      </w:r>
    </w:p>
    <w:p w:rsidR="00CB176C">
      <w:pPr>
        <w:snapToGrid w:val="0"/>
        <w:spacing w:after="156" w:afterLines="50" w:line="288" w:lineRule="auto"/>
        <w:jc w:val="center"/>
        <w:outlineLvl w:val="0"/>
        <w:rPr>
          <w:rFonts w:ascii="宋体" w:hAnsi="宋体" w:cs="Arial"/>
          <w:b/>
          <w:bCs/>
          <w:sz w:val="28"/>
        </w:rPr>
      </w:pPr>
      <w:r>
        <w:rPr>
          <w:rFonts w:ascii="宋体" w:hAnsi="宋体" w:cs="Arial"/>
          <w:b/>
          <w:bCs/>
          <w:sz w:val="28"/>
          <w:highlight w:val="white"/>
        </w:rPr>
        <w:t>二</w:t>
      </w:r>
      <w:r>
        <w:rPr>
          <w:rFonts w:ascii="宋体" w:hAnsi="宋体" w:cs="Arial" w:hint="eastAsia"/>
          <w:b/>
          <w:bCs/>
          <w:sz w:val="28"/>
          <w:highlight w:val="white"/>
        </w:rPr>
        <w:t>零</w:t>
      </w:r>
      <w:r>
        <w:rPr>
          <w:rFonts w:ascii="宋体" w:hAnsi="宋体" w:cs="Arial"/>
          <w:b/>
          <w:bCs/>
          <w:sz w:val="28"/>
          <w:highlight w:val="white"/>
        </w:rPr>
        <w:t>二</w:t>
      </w:r>
      <w:r w:rsidR="00755465">
        <w:rPr>
          <w:rFonts w:ascii="宋体" w:hAnsi="宋体" w:cs="Arial"/>
          <w:b/>
          <w:bCs/>
          <w:sz w:val="28"/>
          <w:highlight w:val="white"/>
        </w:rPr>
        <w:t>六</w:t>
      </w:r>
      <w:r>
        <w:rPr>
          <w:rFonts w:ascii="宋体" w:hAnsi="宋体" w:cs="Arial"/>
          <w:b/>
          <w:bCs/>
          <w:sz w:val="28"/>
          <w:highlight w:val="white"/>
        </w:rPr>
        <w:t>年</w:t>
      </w:r>
      <w:r w:rsidR="00755465">
        <w:rPr>
          <w:rFonts w:ascii="宋体" w:hAnsi="宋体" w:cs="Arial"/>
          <w:b/>
          <w:bCs/>
          <w:sz w:val="28"/>
          <w:highlight w:val="white"/>
        </w:rPr>
        <w:t>一</w:t>
      </w:r>
      <w:r>
        <w:rPr>
          <w:rFonts w:ascii="宋体" w:hAnsi="宋体" w:cs="Arial"/>
          <w:b/>
          <w:bCs/>
          <w:sz w:val="28"/>
          <w:highlight w:val="white"/>
        </w:rPr>
        <w:t>月</w:t>
      </w:r>
    </w:p>
    <w:p w:rsidR="00CB176C">
      <w:pPr>
        <w:snapToGrid w:val="0"/>
        <w:spacing w:after="156" w:afterLines="50" w:line="288" w:lineRule="auto"/>
        <w:jc w:val="center"/>
        <w:outlineLvl w:val="0"/>
        <w:rPr>
          <w:rFonts w:ascii="宋体" w:hAnsi="宋体" w:cs="Arial"/>
          <w:sz w:val="24"/>
        </w:rPr>
      </w:pPr>
    </w:p>
    <w:p w:rsidR="00CB176C">
      <w:pPr>
        <w:snapToGrid w:val="0"/>
        <w:spacing w:after="156" w:afterLines="50" w:line="288" w:lineRule="auto"/>
        <w:jc w:val="center"/>
        <w:rPr>
          <w:rFonts w:ascii="宋体" w:hAnsi="宋体" w:cs="Arial"/>
          <w:bCs/>
          <w:sz w:val="24"/>
        </w:rPr>
        <w:sectPr>
          <w:footerReference w:type="even" r:id="rId5"/>
          <w:footerReference w:type="default" r:id="rId6"/>
          <w:pgSz w:w="11906" w:h="16838"/>
          <w:pgMar w:top="1418" w:right="1701" w:bottom="1418" w:left="1701" w:header="851" w:footer="992" w:gutter="0"/>
          <w:cols w:space="425"/>
          <w:docGrid w:type="lines" w:linePitch="312"/>
        </w:sectPr>
      </w:pPr>
    </w:p>
    <w:p w:rsidR="00CB176C">
      <w:pPr>
        <w:spacing w:after="156" w:afterLines="50" w:line="288" w:lineRule="auto"/>
        <w:jc w:val="center"/>
        <w:rPr>
          <w:rFonts w:ascii="宋体" w:hAnsi="宋体"/>
          <w:b/>
          <w:bCs/>
          <w:sz w:val="30"/>
        </w:rPr>
      </w:pPr>
      <w:r>
        <w:rPr>
          <w:rFonts w:ascii="宋体" w:hAnsi="宋体" w:hint="eastAsia"/>
          <w:b/>
          <w:bCs/>
          <w:sz w:val="30"/>
          <w:highlight w:val="white"/>
        </w:rPr>
        <w:t>目</w:t>
      </w:r>
      <w:r>
        <w:rPr>
          <w:rFonts w:ascii="宋体" w:hAnsi="宋体" w:hint="eastAsia"/>
          <w:b/>
          <w:bCs/>
          <w:sz w:val="30"/>
          <w:highlight w:val="white"/>
        </w:rPr>
        <w:t xml:space="preserve">    </w:t>
      </w:r>
      <w:r>
        <w:rPr>
          <w:rFonts w:ascii="宋体" w:hAnsi="宋体" w:hint="eastAsia"/>
          <w:b/>
          <w:bCs/>
          <w:sz w:val="30"/>
          <w:highlight w:val="white"/>
        </w:rPr>
        <w:t>录</w:t>
      </w:r>
    </w:p>
    <w:bookmarkStart w:id="0" w:name="_Hlt394492945"/>
    <w:bookmarkStart w:id="1" w:name="_Hlt286130128"/>
    <w:bookmarkStart w:id="2" w:name="_Hlt152504138"/>
    <w:bookmarkStart w:id="3" w:name="_Hlt136831051"/>
    <w:bookmarkStart w:id="4" w:name="_Hlt394492503"/>
    <w:bookmarkStart w:id="5" w:name="_Hlt286130129"/>
    <w:bookmarkStart w:id="6" w:name="_Hlt268532771"/>
    <w:bookmarkStart w:id="7" w:name="_Hlt170902934"/>
    <w:bookmarkStart w:id="8" w:name="_Hlt282692140"/>
    <w:bookmarkStart w:id="9" w:name="_Hlt268532770"/>
    <w:bookmarkStart w:id="10" w:name="_Hlt152504139"/>
    <w:bookmarkStart w:id="11" w:name="_Hlt394492504"/>
    <w:bookmarkStart w:id="12" w:name="_Hlt136831050"/>
    <w:p w:rsidR="00CB176C">
      <w:pPr>
        <w:pStyle w:val="TOC2"/>
        <w:rPr>
          <w:rFonts w:asciiTheme="minorHAnsi" w:eastAsiaTheme="minorEastAsia" w:hAnsiTheme="minorHAnsi" w:cstheme="minorBidi"/>
          <w:kern w:val="2"/>
          <w:szCs w:val="22"/>
          <w:lang w:eastAsia="zh-CN"/>
        </w:rPr>
      </w:pPr>
      <w:r>
        <w:rPr>
          <w:rFonts w:ascii="宋体" w:hAnsi="宋体" w:hint="eastAsia"/>
          <w:sz w:val="24"/>
        </w:rPr>
        <w:fldChar w:fldCharType="begin"/>
      </w:r>
      <w:bookmarkEnd w:id="0"/>
      <w:bookmarkEnd w:id="1"/>
      <w:bookmarkEnd w:id="2"/>
      <w:bookmarkEnd w:id="3"/>
      <w:bookmarkEnd w:id="4"/>
      <w:bookmarkEnd w:id="5"/>
      <w:bookmarkEnd w:id="6"/>
      <w:bookmarkEnd w:id="7"/>
      <w:bookmarkEnd w:id="8"/>
      <w:bookmarkEnd w:id="9"/>
      <w:bookmarkEnd w:id="10"/>
      <w:bookmarkEnd w:id="11"/>
      <w:bookmarkEnd w:id="12"/>
      <w:r>
        <w:rPr>
          <w:rFonts w:ascii="宋体" w:hAnsi="宋体" w:hint="eastAsia"/>
          <w:sz w:val="24"/>
          <w:highlight w:val="white"/>
        </w:rPr>
        <w:instrText xml:space="preserve"> TOC \o "1-2" \h \z </w:instrText>
      </w:r>
      <w:r>
        <w:rPr>
          <w:rFonts w:ascii="宋体" w:hAnsi="宋体" w:hint="eastAsia"/>
          <w:sz w:val="24"/>
        </w:rPr>
        <w:fldChar w:fldCharType="separate"/>
      </w:r>
      <w:hyperlink w:anchor="_Toc205489762" w:history="1">
        <w:r>
          <w:rPr>
            <w:rStyle w:val="Hyperlink"/>
            <w:rFonts w:ascii="宋体" w:hAnsi="宋体" w:hint="eastAsia"/>
            <w:highlight w:val="white"/>
          </w:rPr>
          <w:t>一、基金托管协议当事人</w:t>
        </w:r>
        <w:r>
          <w:rPr>
            <w:rFonts w:ascii="宋体" w:hAnsi="宋体" w:cs="宋体"/>
          </w:rPr>
          <w:tab/>
        </w:r>
        <w:r>
          <w:fldChar w:fldCharType="begin"/>
        </w:r>
        <w:r>
          <w:rPr>
            <w:rFonts w:ascii="宋体" w:hAnsi="宋体" w:cs="宋体"/>
          </w:rPr>
          <w:instrText xml:space="preserve"> PAGEREF _Toc205489762 \h </w:instrText>
        </w:r>
        <w:r>
          <w:fldChar w:fldCharType="separate"/>
        </w:r>
        <w:r>
          <w:rPr>
            <w:rFonts w:ascii="宋体" w:hAnsi="宋体" w:cs="宋体"/>
          </w:rPr>
          <w:t>2</w:t>
        </w:r>
        <w:r>
          <w:fldChar w:fldCharType="end"/>
        </w:r>
      </w:hyperlink>
    </w:p>
    <w:p w:rsidR="00CB176C">
      <w:pPr>
        <w:pStyle w:val="TOC2"/>
        <w:rPr>
          <w:rFonts w:asciiTheme="minorHAnsi" w:eastAsiaTheme="minorEastAsia" w:hAnsiTheme="minorHAnsi" w:cstheme="minorBidi"/>
          <w:kern w:val="2"/>
          <w:szCs w:val="22"/>
          <w:lang w:eastAsia="zh-CN"/>
        </w:rPr>
      </w:pPr>
      <w:hyperlink w:anchor="_Toc205489763" w:history="1">
        <w:r>
          <w:rPr>
            <w:rStyle w:val="Hyperlink"/>
            <w:rFonts w:ascii="宋体" w:hAnsi="宋体" w:hint="eastAsia"/>
            <w:highlight w:val="white"/>
          </w:rPr>
          <w:t>二、基金托管协议的依据、目的和原则</w:t>
        </w:r>
        <w:r>
          <w:rPr>
            <w:rFonts w:ascii="宋体" w:hAnsi="宋体" w:cs="宋体"/>
          </w:rPr>
          <w:tab/>
        </w:r>
        <w:r>
          <w:fldChar w:fldCharType="begin"/>
        </w:r>
        <w:r>
          <w:rPr>
            <w:rFonts w:ascii="宋体" w:hAnsi="宋体" w:cs="宋体"/>
          </w:rPr>
          <w:instrText xml:space="preserve"> PAGEREF _Toc205489763 \h </w:instrText>
        </w:r>
        <w:r>
          <w:fldChar w:fldCharType="separate"/>
        </w:r>
        <w:r>
          <w:rPr>
            <w:rFonts w:ascii="宋体" w:hAnsi="宋体" w:cs="宋体"/>
          </w:rPr>
          <w:t>3</w:t>
        </w:r>
        <w:r>
          <w:fldChar w:fldCharType="end"/>
        </w:r>
      </w:hyperlink>
    </w:p>
    <w:p w:rsidR="00CB176C">
      <w:pPr>
        <w:pStyle w:val="TOC2"/>
        <w:rPr>
          <w:rFonts w:asciiTheme="minorHAnsi" w:eastAsiaTheme="minorEastAsia" w:hAnsiTheme="minorHAnsi" w:cstheme="minorBidi"/>
          <w:kern w:val="2"/>
          <w:szCs w:val="22"/>
          <w:lang w:eastAsia="zh-CN"/>
        </w:rPr>
      </w:pPr>
      <w:hyperlink w:anchor="_Toc205489764" w:history="1">
        <w:r>
          <w:rPr>
            <w:rStyle w:val="Hyperlink"/>
            <w:rFonts w:ascii="宋体" w:hAnsi="宋体" w:hint="eastAsia"/>
            <w:highlight w:val="white"/>
            <w:lang w:eastAsia="zh-CN"/>
          </w:rPr>
          <w:t>三</w:t>
        </w:r>
        <w:r>
          <w:rPr>
            <w:rStyle w:val="Hyperlink"/>
            <w:rFonts w:ascii="宋体" w:hAnsi="宋体" w:hint="eastAsia"/>
            <w:highlight w:val="white"/>
          </w:rPr>
          <w:t>、基金托管人对基金管理</w:t>
        </w:r>
        <w:r>
          <w:rPr>
            <w:rStyle w:val="Hyperlink"/>
            <w:rFonts w:ascii="宋体" w:hAnsi="宋体" w:hint="eastAsia"/>
            <w:highlight w:val="white"/>
          </w:rPr>
          <w:t>人的业务监督和核查</w:t>
        </w:r>
        <w:r>
          <w:rPr>
            <w:rFonts w:ascii="宋体" w:hAnsi="宋体" w:cs="宋体"/>
          </w:rPr>
          <w:tab/>
        </w:r>
        <w:r>
          <w:fldChar w:fldCharType="begin"/>
        </w:r>
        <w:r>
          <w:rPr>
            <w:rFonts w:ascii="宋体" w:hAnsi="宋体" w:cs="宋体"/>
          </w:rPr>
          <w:instrText xml:space="preserve"> PAGEREF _Toc205489764 \h </w:instrText>
        </w:r>
        <w:r>
          <w:fldChar w:fldCharType="separate"/>
        </w:r>
        <w:r>
          <w:rPr>
            <w:rFonts w:ascii="宋体" w:hAnsi="宋体" w:cs="宋体"/>
          </w:rPr>
          <w:t>4</w:t>
        </w:r>
        <w:r>
          <w:fldChar w:fldCharType="end"/>
        </w:r>
      </w:hyperlink>
    </w:p>
    <w:p w:rsidR="00CB176C">
      <w:pPr>
        <w:pStyle w:val="TOC2"/>
        <w:rPr>
          <w:rFonts w:asciiTheme="minorHAnsi" w:eastAsiaTheme="minorEastAsia" w:hAnsiTheme="minorHAnsi" w:cstheme="minorBidi"/>
          <w:kern w:val="2"/>
          <w:szCs w:val="22"/>
          <w:lang w:eastAsia="zh-CN"/>
        </w:rPr>
      </w:pPr>
      <w:hyperlink w:anchor="_Toc205489765" w:history="1">
        <w:r>
          <w:rPr>
            <w:rStyle w:val="Hyperlink"/>
            <w:rFonts w:ascii="宋体" w:hAnsi="宋体" w:hint="eastAsia"/>
            <w:highlight w:val="white"/>
            <w:lang w:eastAsia="zh-CN"/>
          </w:rPr>
          <w:t>四</w:t>
        </w:r>
        <w:r>
          <w:rPr>
            <w:rStyle w:val="Hyperlink"/>
            <w:rFonts w:ascii="宋体" w:hAnsi="宋体" w:hint="eastAsia"/>
            <w:highlight w:val="white"/>
          </w:rPr>
          <w:t>、基金管理人对基金托管人的业务核查</w:t>
        </w:r>
        <w:r>
          <w:rPr>
            <w:rFonts w:ascii="宋体" w:hAnsi="宋体" w:cs="宋体"/>
          </w:rPr>
          <w:tab/>
        </w:r>
        <w:r>
          <w:fldChar w:fldCharType="begin"/>
        </w:r>
        <w:r>
          <w:rPr>
            <w:rFonts w:ascii="宋体" w:hAnsi="宋体" w:cs="宋体"/>
          </w:rPr>
          <w:instrText xml:space="preserve"> PAGEREF _Toc205489765 \h </w:instrText>
        </w:r>
        <w:r>
          <w:fldChar w:fldCharType="separate"/>
        </w:r>
        <w:r>
          <w:rPr>
            <w:rFonts w:ascii="宋体" w:hAnsi="宋体" w:cs="宋体"/>
          </w:rPr>
          <w:t>10</w:t>
        </w:r>
        <w:r>
          <w:fldChar w:fldCharType="end"/>
        </w:r>
      </w:hyperlink>
    </w:p>
    <w:p w:rsidR="00CB176C">
      <w:pPr>
        <w:pStyle w:val="TOC2"/>
        <w:rPr>
          <w:rFonts w:asciiTheme="minorHAnsi" w:eastAsiaTheme="minorEastAsia" w:hAnsiTheme="minorHAnsi" w:cstheme="minorBidi"/>
          <w:kern w:val="2"/>
          <w:szCs w:val="22"/>
          <w:lang w:eastAsia="zh-CN"/>
        </w:rPr>
      </w:pPr>
      <w:hyperlink w:anchor="_Toc205489766" w:history="1">
        <w:r>
          <w:rPr>
            <w:rStyle w:val="Hyperlink"/>
            <w:rFonts w:ascii="宋体" w:hAnsi="宋体" w:hint="eastAsia"/>
            <w:highlight w:val="white"/>
            <w:lang w:eastAsia="zh-CN"/>
          </w:rPr>
          <w:t>五</w:t>
        </w:r>
        <w:r>
          <w:rPr>
            <w:rStyle w:val="Hyperlink"/>
            <w:rFonts w:ascii="宋体" w:hAnsi="宋体" w:hint="eastAsia"/>
            <w:highlight w:val="white"/>
          </w:rPr>
          <w:t>、基金财产的保管</w:t>
        </w:r>
        <w:r>
          <w:rPr>
            <w:rFonts w:ascii="宋体" w:hAnsi="宋体" w:cs="宋体"/>
          </w:rPr>
          <w:tab/>
        </w:r>
        <w:r>
          <w:fldChar w:fldCharType="begin"/>
        </w:r>
        <w:r>
          <w:rPr>
            <w:rFonts w:ascii="宋体" w:hAnsi="宋体" w:cs="宋体"/>
          </w:rPr>
          <w:instrText xml:space="preserve"> PAGEREF _Toc205489766 \h </w:instrText>
        </w:r>
        <w:r>
          <w:fldChar w:fldCharType="separate"/>
        </w:r>
        <w:r>
          <w:rPr>
            <w:rFonts w:ascii="宋体" w:hAnsi="宋体" w:cs="宋体"/>
          </w:rPr>
          <w:t>10</w:t>
        </w:r>
        <w:r>
          <w:fldChar w:fldCharType="end"/>
        </w:r>
      </w:hyperlink>
    </w:p>
    <w:p w:rsidR="00CB176C">
      <w:pPr>
        <w:pStyle w:val="TOC2"/>
        <w:rPr>
          <w:rFonts w:asciiTheme="minorHAnsi" w:eastAsiaTheme="minorEastAsia" w:hAnsiTheme="minorHAnsi" w:cstheme="minorBidi"/>
          <w:kern w:val="2"/>
          <w:szCs w:val="22"/>
          <w:lang w:eastAsia="zh-CN"/>
        </w:rPr>
      </w:pPr>
      <w:hyperlink w:anchor="_Toc205489767" w:history="1">
        <w:r>
          <w:rPr>
            <w:rStyle w:val="Hyperlink"/>
            <w:rFonts w:ascii="宋体" w:hAnsi="宋体" w:hint="eastAsia"/>
            <w:highlight w:val="white"/>
            <w:lang w:eastAsia="zh-CN"/>
          </w:rPr>
          <w:t>六</w:t>
        </w:r>
        <w:r>
          <w:rPr>
            <w:rStyle w:val="Hyperlink"/>
            <w:rFonts w:ascii="宋体" w:hAnsi="宋体" w:hint="eastAsia"/>
            <w:highlight w:val="white"/>
          </w:rPr>
          <w:t>、指令的发送、确认及执行</w:t>
        </w:r>
        <w:r>
          <w:rPr>
            <w:rFonts w:ascii="宋体" w:hAnsi="宋体" w:cs="宋体"/>
          </w:rPr>
          <w:tab/>
        </w:r>
        <w:r>
          <w:fldChar w:fldCharType="begin"/>
        </w:r>
        <w:r>
          <w:rPr>
            <w:rFonts w:ascii="宋体" w:hAnsi="宋体" w:cs="宋体"/>
          </w:rPr>
          <w:instrText xml:space="preserve"> PAGEREF _Toc205489767 \h </w:instrText>
        </w:r>
        <w:r>
          <w:fldChar w:fldCharType="separate"/>
        </w:r>
        <w:r>
          <w:rPr>
            <w:rFonts w:ascii="宋体" w:hAnsi="宋体" w:cs="宋体"/>
          </w:rPr>
          <w:t>13</w:t>
        </w:r>
        <w:r>
          <w:fldChar w:fldCharType="end"/>
        </w:r>
      </w:hyperlink>
    </w:p>
    <w:p w:rsidR="00CB176C">
      <w:pPr>
        <w:pStyle w:val="TOC2"/>
        <w:rPr>
          <w:rFonts w:asciiTheme="minorHAnsi" w:eastAsiaTheme="minorEastAsia" w:hAnsiTheme="minorHAnsi" w:cstheme="minorBidi"/>
          <w:kern w:val="2"/>
          <w:szCs w:val="22"/>
          <w:lang w:eastAsia="zh-CN"/>
        </w:rPr>
      </w:pPr>
      <w:hyperlink w:anchor="_Toc205489768" w:history="1">
        <w:r>
          <w:rPr>
            <w:rStyle w:val="Hyperlink"/>
            <w:rFonts w:ascii="宋体" w:hAnsi="宋体" w:hint="eastAsia"/>
            <w:highlight w:val="white"/>
            <w:lang w:eastAsia="zh-CN"/>
          </w:rPr>
          <w:t>七</w:t>
        </w:r>
        <w:r>
          <w:rPr>
            <w:rStyle w:val="Hyperlink"/>
            <w:rFonts w:ascii="宋体" w:hAnsi="宋体" w:hint="eastAsia"/>
            <w:highlight w:val="white"/>
          </w:rPr>
          <w:t>、交易及清算交收安排</w:t>
        </w:r>
        <w:r>
          <w:rPr>
            <w:rFonts w:ascii="宋体" w:hAnsi="宋体" w:cs="宋体"/>
          </w:rPr>
          <w:tab/>
        </w:r>
        <w:r>
          <w:fldChar w:fldCharType="begin"/>
        </w:r>
        <w:r>
          <w:rPr>
            <w:rFonts w:ascii="宋体" w:hAnsi="宋体" w:cs="宋体"/>
          </w:rPr>
          <w:instrText xml:space="preserve"> PAGEREF _Toc205489768 \h </w:instrText>
        </w:r>
        <w:r>
          <w:fldChar w:fldCharType="separate"/>
        </w:r>
        <w:r>
          <w:rPr>
            <w:rFonts w:ascii="宋体" w:hAnsi="宋体" w:cs="宋体"/>
          </w:rPr>
          <w:t>17</w:t>
        </w:r>
        <w:r>
          <w:fldChar w:fldCharType="end"/>
        </w:r>
      </w:hyperlink>
    </w:p>
    <w:p w:rsidR="00CB176C">
      <w:pPr>
        <w:pStyle w:val="TOC2"/>
        <w:rPr>
          <w:rFonts w:asciiTheme="minorHAnsi" w:eastAsiaTheme="minorEastAsia" w:hAnsiTheme="minorHAnsi" w:cstheme="minorBidi"/>
          <w:kern w:val="2"/>
          <w:szCs w:val="22"/>
          <w:lang w:eastAsia="zh-CN"/>
        </w:rPr>
      </w:pPr>
      <w:hyperlink w:anchor="_Toc205489769" w:history="1">
        <w:r>
          <w:rPr>
            <w:rStyle w:val="Hyperlink"/>
            <w:rFonts w:ascii="宋体" w:hAnsi="宋体" w:hint="eastAsia"/>
            <w:highlight w:val="white"/>
            <w:lang w:eastAsia="zh-CN"/>
          </w:rPr>
          <w:t>八</w:t>
        </w:r>
        <w:r>
          <w:rPr>
            <w:rStyle w:val="Hyperlink"/>
            <w:rFonts w:ascii="宋体" w:hAnsi="宋体" w:hint="eastAsia"/>
            <w:highlight w:val="white"/>
          </w:rPr>
          <w:t>、基金申购、赎回与分红安排</w:t>
        </w:r>
        <w:r>
          <w:rPr>
            <w:rFonts w:ascii="宋体" w:hAnsi="宋体" w:cs="宋体"/>
          </w:rPr>
          <w:tab/>
        </w:r>
        <w:r>
          <w:fldChar w:fldCharType="begin"/>
        </w:r>
        <w:r>
          <w:rPr>
            <w:rFonts w:ascii="宋体" w:hAnsi="宋体" w:cs="宋体"/>
          </w:rPr>
          <w:instrText xml:space="preserve"> PAGEREF _Toc205489769 \h </w:instrText>
        </w:r>
        <w:r>
          <w:fldChar w:fldCharType="separate"/>
        </w:r>
        <w:r>
          <w:rPr>
            <w:rFonts w:ascii="宋体" w:hAnsi="宋体" w:cs="宋体"/>
          </w:rPr>
          <w:t>20</w:t>
        </w:r>
        <w:r>
          <w:fldChar w:fldCharType="end"/>
        </w:r>
      </w:hyperlink>
    </w:p>
    <w:p w:rsidR="00CB176C">
      <w:pPr>
        <w:pStyle w:val="TOC2"/>
        <w:rPr>
          <w:rFonts w:asciiTheme="minorHAnsi" w:eastAsiaTheme="minorEastAsia" w:hAnsiTheme="minorHAnsi" w:cstheme="minorBidi"/>
          <w:kern w:val="2"/>
          <w:szCs w:val="22"/>
          <w:lang w:eastAsia="zh-CN"/>
        </w:rPr>
      </w:pPr>
      <w:hyperlink w:anchor="_Toc205489770" w:history="1">
        <w:r>
          <w:rPr>
            <w:rStyle w:val="Hyperlink"/>
            <w:rFonts w:ascii="宋体" w:hAnsi="宋体" w:hint="eastAsia"/>
            <w:highlight w:val="white"/>
            <w:lang w:eastAsia="zh-CN"/>
          </w:rPr>
          <w:t>九</w:t>
        </w:r>
        <w:r>
          <w:rPr>
            <w:rStyle w:val="Hyperlink"/>
            <w:rFonts w:ascii="宋体" w:hAnsi="宋体" w:hint="eastAsia"/>
            <w:highlight w:val="white"/>
          </w:rPr>
          <w:t>、基金资产净值计算和会计核</w:t>
        </w:r>
        <w:r>
          <w:rPr>
            <w:rStyle w:val="Hyperlink"/>
            <w:rFonts w:ascii="宋体" w:hAnsi="宋体" w:hint="eastAsia"/>
            <w:highlight w:val="white"/>
          </w:rPr>
          <w:t>算</w:t>
        </w:r>
        <w:r>
          <w:rPr>
            <w:rFonts w:ascii="宋体" w:hAnsi="宋体" w:cs="宋体"/>
          </w:rPr>
          <w:tab/>
        </w:r>
        <w:r>
          <w:fldChar w:fldCharType="begin"/>
        </w:r>
        <w:r>
          <w:rPr>
            <w:rFonts w:ascii="宋体" w:hAnsi="宋体" w:cs="宋体"/>
          </w:rPr>
          <w:instrText xml:space="preserve"> PAGEREF _Toc205489770 \h </w:instrText>
        </w:r>
        <w:r>
          <w:fldChar w:fldCharType="separate"/>
        </w:r>
        <w:r>
          <w:rPr>
            <w:rFonts w:ascii="宋体" w:hAnsi="宋体" w:cs="宋体"/>
          </w:rPr>
          <w:t>21</w:t>
        </w:r>
        <w:r>
          <w:fldChar w:fldCharType="end"/>
        </w:r>
      </w:hyperlink>
    </w:p>
    <w:p w:rsidR="00CB176C">
      <w:pPr>
        <w:pStyle w:val="TOC2"/>
        <w:rPr>
          <w:rFonts w:asciiTheme="minorHAnsi" w:eastAsiaTheme="minorEastAsia" w:hAnsiTheme="minorHAnsi" w:cstheme="minorBidi"/>
          <w:kern w:val="2"/>
          <w:szCs w:val="22"/>
          <w:lang w:eastAsia="zh-CN"/>
        </w:rPr>
      </w:pPr>
      <w:hyperlink w:anchor="_Toc205489771" w:history="1">
        <w:r>
          <w:rPr>
            <w:rStyle w:val="Hyperlink"/>
            <w:rFonts w:ascii="宋体" w:hAnsi="宋体" w:hint="eastAsia"/>
            <w:highlight w:val="white"/>
          </w:rPr>
          <w:t>十、基金收益分配</w:t>
        </w:r>
        <w:r>
          <w:rPr>
            <w:rFonts w:ascii="宋体" w:hAnsi="宋体" w:cs="宋体"/>
          </w:rPr>
          <w:tab/>
        </w:r>
        <w:r>
          <w:fldChar w:fldCharType="begin"/>
        </w:r>
        <w:r>
          <w:rPr>
            <w:rFonts w:ascii="宋体" w:hAnsi="宋体" w:cs="宋体"/>
          </w:rPr>
          <w:instrText xml:space="preserve"> PAGEREF _Toc205489771 \h </w:instrText>
        </w:r>
        <w:r>
          <w:fldChar w:fldCharType="separate"/>
        </w:r>
        <w:r>
          <w:rPr>
            <w:rFonts w:ascii="宋体" w:hAnsi="宋体" w:cs="宋体"/>
          </w:rPr>
          <w:t>27</w:t>
        </w:r>
        <w:r>
          <w:fldChar w:fldCharType="end"/>
        </w:r>
      </w:hyperlink>
    </w:p>
    <w:p w:rsidR="00CB176C">
      <w:pPr>
        <w:pStyle w:val="TOC2"/>
        <w:rPr>
          <w:rFonts w:asciiTheme="minorHAnsi" w:eastAsiaTheme="minorEastAsia" w:hAnsiTheme="minorHAnsi" w:cstheme="minorBidi"/>
          <w:kern w:val="2"/>
          <w:szCs w:val="22"/>
          <w:lang w:eastAsia="zh-CN"/>
        </w:rPr>
      </w:pPr>
      <w:hyperlink w:anchor="_Toc205489772" w:history="1">
        <w:r>
          <w:rPr>
            <w:rStyle w:val="Hyperlink"/>
            <w:rFonts w:ascii="宋体" w:hAnsi="宋体" w:hint="eastAsia"/>
            <w:highlight w:val="white"/>
          </w:rPr>
          <w:t>十</w:t>
        </w:r>
        <w:r>
          <w:rPr>
            <w:rStyle w:val="Hyperlink"/>
            <w:rFonts w:ascii="宋体" w:hAnsi="宋体" w:hint="eastAsia"/>
            <w:highlight w:val="white"/>
            <w:lang w:eastAsia="zh-CN"/>
          </w:rPr>
          <w:t>一</w:t>
        </w:r>
        <w:r>
          <w:rPr>
            <w:rStyle w:val="Hyperlink"/>
            <w:rFonts w:ascii="宋体" w:hAnsi="宋体" w:hint="eastAsia"/>
            <w:highlight w:val="white"/>
          </w:rPr>
          <w:t>、基金信息披露</w:t>
        </w:r>
        <w:r>
          <w:rPr>
            <w:rFonts w:ascii="宋体" w:hAnsi="宋体" w:cs="宋体"/>
          </w:rPr>
          <w:tab/>
        </w:r>
        <w:r>
          <w:fldChar w:fldCharType="begin"/>
        </w:r>
        <w:r>
          <w:rPr>
            <w:rFonts w:ascii="宋体" w:hAnsi="宋体" w:cs="宋体"/>
          </w:rPr>
          <w:instrText xml:space="preserve"> PAGEREF _Toc205489772 \h </w:instrText>
        </w:r>
        <w:r>
          <w:fldChar w:fldCharType="separate"/>
        </w:r>
        <w:r>
          <w:rPr>
            <w:rFonts w:ascii="宋体" w:hAnsi="宋体" w:cs="宋体"/>
          </w:rPr>
          <w:t>28</w:t>
        </w:r>
        <w:r>
          <w:fldChar w:fldCharType="end"/>
        </w:r>
      </w:hyperlink>
    </w:p>
    <w:p w:rsidR="00CB176C">
      <w:pPr>
        <w:pStyle w:val="TOC2"/>
        <w:rPr>
          <w:rFonts w:asciiTheme="minorHAnsi" w:eastAsiaTheme="minorEastAsia" w:hAnsiTheme="minorHAnsi" w:cstheme="minorBidi"/>
          <w:kern w:val="2"/>
          <w:szCs w:val="22"/>
          <w:lang w:eastAsia="zh-CN"/>
        </w:rPr>
      </w:pPr>
      <w:hyperlink w:anchor="_Toc205489773" w:history="1">
        <w:r>
          <w:rPr>
            <w:rStyle w:val="Hyperlink"/>
            <w:rFonts w:ascii="宋体" w:hAnsi="宋体" w:hint="eastAsia"/>
            <w:highlight w:val="white"/>
          </w:rPr>
          <w:t>十</w:t>
        </w:r>
        <w:r>
          <w:rPr>
            <w:rStyle w:val="Hyperlink"/>
            <w:rFonts w:ascii="宋体" w:hAnsi="宋体" w:hint="eastAsia"/>
            <w:highlight w:val="white"/>
            <w:lang w:eastAsia="zh-CN"/>
          </w:rPr>
          <w:t>二</w:t>
        </w:r>
        <w:r>
          <w:rPr>
            <w:rStyle w:val="Hyperlink"/>
            <w:rFonts w:ascii="宋体" w:hAnsi="宋体" w:hint="eastAsia"/>
            <w:highlight w:val="white"/>
          </w:rPr>
          <w:t>、基金费用和税收</w:t>
        </w:r>
        <w:r>
          <w:rPr>
            <w:rFonts w:ascii="宋体" w:hAnsi="宋体" w:cs="宋体"/>
          </w:rPr>
          <w:tab/>
        </w:r>
        <w:r>
          <w:fldChar w:fldCharType="begin"/>
        </w:r>
        <w:r>
          <w:rPr>
            <w:rFonts w:ascii="宋体" w:hAnsi="宋体" w:cs="宋体"/>
          </w:rPr>
          <w:instrText xml:space="preserve"> PAGEREF _Toc205489773 \h </w:instrText>
        </w:r>
        <w:r>
          <w:fldChar w:fldCharType="separate"/>
        </w:r>
        <w:r>
          <w:rPr>
            <w:rFonts w:ascii="宋体" w:hAnsi="宋体" w:cs="宋体"/>
          </w:rPr>
          <w:t>29</w:t>
        </w:r>
        <w:r>
          <w:fldChar w:fldCharType="end"/>
        </w:r>
      </w:hyperlink>
    </w:p>
    <w:p w:rsidR="00CB176C">
      <w:pPr>
        <w:pStyle w:val="TOC2"/>
        <w:rPr>
          <w:rFonts w:asciiTheme="minorHAnsi" w:eastAsiaTheme="minorEastAsia" w:hAnsiTheme="minorHAnsi" w:cstheme="minorBidi"/>
          <w:kern w:val="2"/>
          <w:szCs w:val="22"/>
          <w:lang w:eastAsia="zh-CN"/>
        </w:rPr>
      </w:pPr>
      <w:hyperlink w:anchor="_Toc205489774" w:history="1">
        <w:r>
          <w:rPr>
            <w:rStyle w:val="Hyperlink"/>
            <w:rFonts w:ascii="宋体" w:hAnsi="宋体" w:hint="eastAsia"/>
            <w:highlight w:val="white"/>
          </w:rPr>
          <w:t>十</w:t>
        </w:r>
        <w:r>
          <w:rPr>
            <w:rStyle w:val="Hyperlink"/>
            <w:rFonts w:ascii="宋体" w:hAnsi="宋体" w:hint="eastAsia"/>
            <w:highlight w:val="white"/>
            <w:lang w:eastAsia="zh-CN"/>
          </w:rPr>
          <w:t>三</w:t>
        </w:r>
        <w:r>
          <w:rPr>
            <w:rStyle w:val="Hyperlink"/>
            <w:rFonts w:ascii="宋体" w:hAnsi="宋体" w:hint="eastAsia"/>
            <w:highlight w:val="white"/>
          </w:rPr>
          <w:t>、基金份额持有人名册的保管</w:t>
        </w:r>
        <w:r>
          <w:rPr>
            <w:rFonts w:ascii="宋体" w:hAnsi="宋体" w:cs="宋体"/>
          </w:rPr>
          <w:tab/>
        </w:r>
        <w:r>
          <w:fldChar w:fldCharType="begin"/>
        </w:r>
        <w:r>
          <w:rPr>
            <w:rFonts w:ascii="宋体" w:hAnsi="宋体" w:cs="宋体"/>
          </w:rPr>
          <w:instrText xml:space="preserve"> PAGEREF _Toc205489774 \h </w:instrText>
        </w:r>
        <w:r>
          <w:fldChar w:fldCharType="separate"/>
        </w:r>
        <w:r>
          <w:rPr>
            <w:rFonts w:ascii="宋体" w:hAnsi="宋体" w:cs="宋体"/>
          </w:rPr>
          <w:t>32</w:t>
        </w:r>
        <w:r>
          <w:fldChar w:fldCharType="end"/>
        </w:r>
      </w:hyperlink>
    </w:p>
    <w:p w:rsidR="00CB176C">
      <w:pPr>
        <w:pStyle w:val="TOC2"/>
        <w:rPr>
          <w:rFonts w:asciiTheme="minorHAnsi" w:eastAsiaTheme="minorEastAsia" w:hAnsiTheme="minorHAnsi" w:cstheme="minorBidi"/>
          <w:kern w:val="2"/>
          <w:szCs w:val="22"/>
          <w:lang w:eastAsia="zh-CN"/>
        </w:rPr>
      </w:pPr>
      <w:hyperlink w:anchor="_Toc205489775" w:history="1">
        <w:r>
          <w:rPr>
            <w:rStyle w:val="Hyperlink"/>
            <w:rFonts w:ascii="宋体" w:hAnsi="宋体" w:hint="eastAsia"/>
            <w:highlight w:val="white"/>
          </w:rPr>
          <w:t>十</w:t>
        </w:r>
        <w:r>
          <w:rPr>
            <w:rStyle w:val="Hyperlink"/>
            <w:rFonts w:ascii="宋体" w:hAnsi="宋体" w:hint="eastAsia"/>
            <w:highlight w:val="white"/>
            <w:lang w:eastAsia="zh-CN"/>
          </w:rPr>
          <w:t>四</w:t>
        </w:r>
        <w:r>
          <w:rPr>
            <w:rStyle w:val="Hyperlink"/>
            <w:rFonts w:ascii="宋体" w:hAnsi="宋体" w:hint="eastAsia"/>
            <w:highlight w:val="white"/>
          </w:rPr>
          <w:t>、基金有关文件档案的</w:t>
        </w:r>
        <w:r>
          <w:rPr>
            <w:rStyle w:val="Hyperlink"/>
            <w:rFonts w:ascii="宋体" w:hAnsi="宋体" w:hint="eastAsia"/>
            <w:highlight w:val="white"/>
          </w:rPr>
          <w:t>保存</w:t>
        </w:r>
        <w:r>
          <w:rPr>
            <w:rFonts w:ascii="宋体" w:hAnsi="宋体" w:cs="宋体"/>
          </w:rPr>
          <w:tab/>
        </w:r>
        <w:r>
          <w:fldChar w:fldCharType="begin"/>
        </w:r>
        <w:r>
          <w:rPr>
            <w:rFonts w:ascii="宋体" w:hAnsi="宋体" w:cs="宋体"/>
          </w:rPr>
          <w:instrText xml:space="preserve"> PAGEREF _Toc205489775 \h </w:instrText>
        </w:r>
        <w:r>
          <w:fldChar w:fldCharType="separate"/>
        </w:r>
        <w:r>
          <w:rPr>
            <w:rFonts w:ascii="宋体" w:hAnsi="宋体" w:cs="宋体"/>
          </w:rPr>
          <w:t>32</w:t>
        </w:r>
        <w:r>
          <w:fldChar w:fldCharType="end"/>
        </w:r>
      </w:hyperlink>
    </w:p>
    <w:p w:rsidR="00CB176C">
      <w:pPr>
        <w:pStyle w:val="TOC2"/>
        <w:rPr>
          <w:rFonts w:asciiTheme="minorHAnsi" w:eastAsiaTheme="minorEastAsia" w:hAnsiTheme="minorHAnsi" w:cstheme="minorBidi"/>
          <w:kern w:val="2"/>
          <w:szCs w:val="22"/>
          <w:lang w:eastAsia="zh-CN"/>
        </w:rPr>
      </w:pPr>
      <w:hyperlink w:anchor="_Toc205489776" w:history="1">
        <w:r>
          <w:rPr>
            <w:rStyle w:val="Hyperlink"/>
            <w:rFonts w:ascii="宋体" w:hAnsi="宋体" w:hint="eastAsia"/>
            <w:highlight w:val="white"/>
          </w:rPr>
          <w:t>十</w:t>
        </w:r>
        <w:r>
          <w:rPr>
            <w:rStyle w:val="Hyperlink"/>
            <w:rFonts w:ascii="宋体" w:hAnsi="宋体" w:hint="eastAsia"/>
            <w:highlight w:val="white"/>
            <w:lang w:eastAsia="zh-CN"/>
          </w:rPr>
          <w:t>五</w:t>
        </w:r>
        <w:r>
          <w:rPr>
            <w:rStyle w:val="Hyperlink"/>
            <w:rFonts w:ascii="宋体" w:hAnsi="宋体" w:hint="eastAsia"/>
            <w:highlight w:val="white"/>
          </w:rPr>
          <w:t>、基金管理人和基金托管人的更换</w:t>
        </w:r>
        <w:r>
          <w:rPr>
            <w:rFonts w:ascii="宋体" w:hAnsi="宋体" w:cs="宋体"/>
          </w:rPr>
          <w:tab/>
        </w:r>
        <w:r>
          <w:fldChar w:fldCharType="begin"/>
        </w:r>
        <w:r>
          <w:rPr>
            <w:rFonts w:ascii="宋体" w:hAnsi="宋体" w:cs="宋体"/>
          </w:rPr>
          <w:instrText xml:space="preserve"> PAGEREF _Toc205489776 \h </w:instrText>
        </w:r>
        <w:r>
          <w:fldChar w:fldCharType="separate"/>
        </w:r>
        <w:r>
          <w:rPr>
            <w:rFonts w:ascii="宋体" w:hAnsi="宋体" w:cs="宋体"/>
          </w:rPr>
          <w:t>33</w:t>
        </w:r>
        <w:r>
          <w:fldChar w:fldCharType="end"/>
        </w:r>
      </w:hyperlink>
    </w:p>
    <w:p w:rsidR="00CB176C">
      <w:pPr>
        <w:pStyle w:val="TOC2"/>
        <w:rPr>
          <w:rFonts w:asciiTheme="minorHAnsi" w:eastAsiaTheme="minorEastAsia" w:hAnsiTheme="minorHAnsi" w:cstheme="minorBidi"/>
          <w:kern w:val="2"/>
          <w:szCs w:val="22"/>
          <w:lang w:eastAsia="zh-CN"/>
        </w:rPr>
      </w:pPr>
      <w:hyperlink w:anchor="_Toc205489777" w:history="1">
        <w:r>
          <w:rPr>
            <w:rStyle w:val="Hyperlink"/>
            <w:rFonts w:ascii="宋体" w:hAnsi="宋体" w:hint="eastAsia"/>
            <w:highlight w:val="white"/>
          </w:rPr>
          <w:t>十</w:t>
        </w:r>
        <w:r>
          <w:rPr>
            <w:rStyle w:val="Hyperlink"/>
            <w:rFonts w:ascii="宋体" w:hAnsi="宋体" w:hint="eastAsia"/>
            <w:highlight w:val="white"/>
            <w:lang w:eastAsia="zh-CN"/>
          </w:rPr>
          <w:t>六</w:t>
        </w:r>
        <w:r>
          <w:rPr>
            <w:rStyle w:val="Hyperlink"/>
            <w:rFonts w:ascii="宋体" w:hAnsi="宋体" w:hint="eastAsia"/>
            <w:highlight w:val="white"/>
          </w:rPr>
          <w:t>、禁止行为</w:t>
        </w:r>
        <w:r>
          <w:rPr>
            <w:rFonts w:ascii="宋体" w:hAnsi="宋体" w:cs="宋体"/>
          </w:rPr>
          <w:tab/>
        </w:r>
        <w:r>
          <w:fldChar w:fldCharType="begin"/>
        </w:r>
        <w:r>
          <w:rPr>
            <w:rFonts w:ascii="宋体" w:hAnsi="宋体" w:cs="宋体"/>
          </w:rPr>
          <w:instrText xml:space="preserve"> PAGEREF _Toc205489777 \h </w:instrText>
        </w:r>
        <w:r>
          <w:fldChar w:fldCharType="separate"/>
        </w:r>
        <w:r>
          <w:rPr>
            <w:rFonts w:ascii="宋体" w:hAnsi="宋体" w:cs="宋体"/>
          </w:rPr>
          <w:t>35</w:t>
        </w:r>
        <w:r>
          <w:fldChar w:fldCharType="end"/>
        </w:r>
      </w:hyperlink>
    </w:p>
    <w:p w:rsidR="00CB176C">
      <w:pPr>
        <w:pStyle w:val="TOC2"/>
        <w:rPr>
          <w:rFonts w:asciiTheme="minorHAnsi" w:eastAsiaTheme="minorEastAsia" w:hAnsiTheme="minorHAnsi" w:cstheme="minorBidi"/>
          <w:kern w:val="2"/>
          <w:szCs w:val="22"/>
          <w:lang w:eastAsia="zh-CN"/>
        </w:rPr>
      </w:pPr>
      <w:hyperlink w:anchor="_Toc205489778" w:history="1">
        <w:r>
          <w:rPr>
            <w:rStyle w:val="Hyperlink"/>
            <w:rFonts w:ascii="宋体" w:hAnsi="宋体" w:hint="eastAsia"/>
            <w:highlight w:val="white"/>
          </w:rPr>
          <w:t>十</w:t>
        </w:r>
        <w:r>
          <w:rPr>
            <w:rStyle w:val="Hyperlink"/>
            <w:rFonts w:ascii="宋体" w:hAnsi="宋体" w:hint="eastAsia"/>
            <w:highlight w:val="white"/>
            <w:lang w:eastAsia="zh-CN"/>
          </w:rPr>
          <w:t>七</w:t>
        </w:r>
        <w:r>
          <w:rPr>
            <w:rStyle w:val="Hyperlink"/>
            <w:rFonts w:ascii="宋体" w:hAnsi="宋体" w:hint="eastAsia"/>
            <w:highlight w:val="white"/>
          </w:rPr>
          <w:t>、托管协议的变更、终止与基金财产的清算</w:t>
        </w:r>
        <w:r>
          <w:rPr>
            <w:rFonts w:ascii="宋体" w:hAnsi="宋体" w:cs="宋体"/>
          </w:rPr>
          <w:tab/>
        </w:r>
        <w:r>
          <w:fldChar w:fldCharType="begin"/>
        </w:r>
        <w:r>
          <w:rPr>
            <w:rFonts w:ascii="宋体" w:hAnsi="宋体" w:cs="宋体"/>
          </w:rPr>
          <w:instrText xml:space="preserve"> PAGEREF _Toc205489778 \h </w:instrText>
        </w:r>
        <w:r>
          <w:fldChar w:fldCharType="separate"/>
        </w:r>
        <w:r>
          <w:rPr>
            <w:rFonts w:ascii="宋体" w:hAnsi="宋体" w:cs="宋体"/>
          </w:rPr>
          <w:t>36</w:t>
        </w:r>
        <w:r>
          <w:fldChar w:fldCharType="end"/>
        </w:r>
      </w:hyperlink>
    </w:p>
    <w:p w:rsidR="00CB176C">
      <w:pPr>
        <w:pStyle w:val="TOC2"/>
        <w:rPr>
          <w:rFonts w:asciiTheme="minorHAnsi" w:eastAsiaTheme="minorEastAsia" w:hAnsiTheme="minorHAnsi" w:cstheme="minorBidi"/>
          <w:kern w:val="2"/>
          <w:szCs w:val="22"/>
          <w:lang w:eastAsia="zh-CN"/>
        </w:rPr>
      </w:pPr>
      <w:hyperlink w:anchor="_Toc205489779" w:history="1">
        <w:r>
          <w:rPr>
            <w:rStyle w:val="Hyperlink"/>
            <w:rFonts w:ascii="宋体" w:hAnsi="宋体" w:hint="eastAsia"/>
            <w:highlight w:val="white"/>
          </w:rPr>
          <w:t>十</w:t>
        </w:r>
        <w:r>
          <w:rPr>
            <w:rStyle w:val="Hyperlink"/>
            <w:rFonts w:ascii="宋体" w:hAnsi="宋体" w:hint="eastAsia"/>
            <w:highlight w:val="white"/>
            <w:lang w:eastAsia="zh-CN"/>
          </w:rPr>
          <w:t>八</w:t>
        </w:r>
        <w:r>
          <w:rPr>
            <w:rStyle w:val="Hyperlink"/>
            <w:rFonts w:ascii="宋体" w:hAnsi="宋体" w:hint="eastAsia"/>
            <w:highlight w:val="white"/>
          </w:rPr>
          <w:t>、违约责任</w:t>
        </w:r>
        <w:r>
          <w:rPr>
            <w:rFonts w:ascii="宋体" w:hAnsi="宋体" w:cs="宋体"/>
          </w:rPr>
          <w:tab/>
        </w:r>
        <w:r>
          <w:fldChar w:fldCharType="begin"/>
        </w:r>
        <w:r>
          <w:rPr>
            <w:rFonts w:ascii="宋体" w:hAnsi="宋体" w:cs="宋体"/>
          </w:rPr>
          <w:instrText xml:space="preserve"> PAGEREF _Toc205489779 \h </w:instrText>
        </w:r>
        <w:r>
          <w:fldChar w:fldCharType="separate"/>
        </w:r>
        <w:r>
          <w:rPr>
            <w:rFonts w:ascii="宋体" w:hAnsi="宋体" w:cs="宋体"/>
          </w:rPr>
          <w:t>37</w:t>
        </w:r>
        <w:r>
          <w:fldChar w:fldCharType="end"/>
        </w:r>
      </w:hyperlink>
    </w:p>
    <w:p w:rsidR="00CB176C">
      <w:pPr>
        <w:pStyle w:val="TOC2"/>
        <w:rPr>
          <w:rFonts w:asciiTheme="minorHAnsi" w:eastAsiaTheme="minorEastAsia" w:hAnsiTheme="minorHAnsi" w:cstheme="minorBidi"/>
          <w:kern w:val="2"/>
          <w:szCs w:val="22"/>
          <w:lang w:eastAsia="zh-CN"/>
        </w:rPr>
      </w:pPr>
      <w:hyperlink w:anchor="_Toc205489780" w:history="1">
        <w:r>
          <w:rPr>
            <w:rStyle w:val="Hyperlink"/>
            <w:rFonts w:ascii="宋体" w:hAnsi="宋体" w:hint="eastAsia"/>
            <w:highlight w:val="white"/>
            <w:lang w:eastAsia="zh-CN"/>
          </w:rPr>
          <w:t>十九</w:t>
        </w:r>
        <w:r>
          <w:rPr>
            <w:rStyle w:val="Hyperlink"/>
            <w:rFonts w:ascii="宋体" w:hAnsi="宋体" w:hint="eastAsia"/>
            <w:highlight w:val="white"/>
          </w:rPr>
          <w:t>、争议解决方式</w:t>
        </w:r>
        <w:r>
          <w:rPr>
            <w:rFonts w:ascii="宋体" w:hAnsi="宋体" w:cs="宋体"/>
          </w:rPr>
          <w:tab/>
        </w:r>
        <w:r>
          <w:fldChar w:fldCharType="begin"/>
        </w:r>
        <w:r>
          <w:rPr>
            <w:rFonts w:ascii="宋体" w:hAnsi="宋体" w:cs="宋体"/>
          </w:rPr>
          <w:instrText xml:space="preserve"> PAGEREF _Toc205489780 \h </w:instrText>
        </w:r>
        <w:r>
          <w:fldChar w:fldCharType="separate"/>
        </w:r>
        <w:r>
          <w:rPr>
            <w:rFonts w:ascii="宋体" w:hAnsi="宋体" w:cs="宋体"/>
          </w:rPr>
          <w:t>38</w:t>
        </w:r>
        <w:r>
          <w:fldChar w:fldCharType="end"/>
        </w:r>
      </w:hyperlink>
    </w:p>
    <w:p w:rsidR="00CB176C">
      <w:pPr>
        <w:pStyle w:val="TOC2"/>
        <w:rPr>
          <w:rFonts w:asciiTheme="minorHAnsi" w:eastAsiaTheme="minorEastAsia" w:hAnsiTheme="minorHAnsi" w:cstheme="minorBidi"/>
          <w:kern w:val="2"/>
          <w:szCs w:val="22"/>
          <w:lang w:eastAsia="zh-CN"/>
        </w:rPr>
      </w:pPr>
      <w:hyperlink w:anchor="_Toc205489781" w:history="1">
        <w:r>
          <w:rPr>
            <w:rStyle w:val="Hyperlink"/>
            <w:rFonts w:ascii="宋体" w:hAnsi="宋体" w:hint="eastAsia"/>
            <w:highlight w:val="white"/>
          </w:rPr>
          <w:t>二十、托管协议的效力</w:t>
        </w:r>
        <w:r>
          <w:rPr>
            <w:rFonts w:ascii="宋体" w:hAnsi="宋体" w:cs="宋体"/>
          </w:rPr>
          <w:tab/>
        </w:r>
        <w:r>
          <w:fldChar w:fldCharType="begin"/>
        </w:r>
        <w:r>
          <w:rPr>
            <w:rFonts w:ascii="宋体" w:hAnsi="宋体" w:cs="宋体"/>
          </w:rPr>
          <w:instrText xml:space="preserve"> PAGEREF _Toc205489781 \h </w:instrText>
        </w:r>
        <w:r>
          <w:fldChar w:fldCharType="separate"/>
        </w:r>
        <w:r>
          <w:rPr>
            <w:rFonts w:ascii="宋体" w:hAnsi="宋体" w:cs="宋体"/>
          </w:rPr>
          <w:t>39</w:t>
        </w:r>
        <w:r>
          <w:fldChar w:fldCharType="end"/>
        </w:r>
      </w:hyperlink>
    </w:p>
    <w:p w:rsidR="00CB176C">
      <w:pPr>
        <w:pStyle w:val="TOC2"/>
        <w:rPr>
          <w:rFonts w:asciiTheme="minorHAnsi" w:eastAsiaTheme="minorEastAsia" w:hAnsiTheme="minorHAnsi" w:cstheme="minorBidi"/>
          <w:kern w:val="2"/>
          <w:szCs w:val="22"/>
          <w:lang w:eastAsia="zh-CN"/>
        </w:rPr>
      </w:pPr>
      <w:hyperlink w:anchor="_Toc205489782" w:history="1">
        <w:r>
          <w:rPr>
            <w:rStyle w:val="Hyperlink"/>
            <w:rFonts w:ascii="宋体" w:hAnsi="宋体" w:hint="eastAsia"/>
            <w:highlight w:val="white"/>
          </w:rPr>
          <w:t>二十</w:t>
        </w:r>
        <w:r>
          <w:rPr>
            <w:rStyle w:val="Hyperlink"/>
            <w:rFonts w:ascii="宋体" w:hAnsi="宋体" w:hint="eastAsia"/>
            <w:highlight w:val="white"/>
            <w:lang w:eastAsia="zh-CN"/>
          </w:rPr>
          <w:t>一</w:t>
        </w:r>
        <w:r>
          <w:rPr>
            <w:rStyle w:val="Hyperlink"/>
            <w:rFonts w:ascii="宋体" w:hAnsi="宋体" w:hint="eastAsia"/>
            <w:highlight w:val="white"/>
          </w:rPr>
          <w:t>、其他事项</w:t>
        </w:r>
        <w:r>
          <w:rPr>
            <w:rFonts w:ascii="宋体" w:hAnsi="宋体" w:cs="宋体"/>
          </w:rPr>
          <w:tab/>
        </w:r>
        <w:r>
          <w:fldChar w:fldCharType="begin"/>
        </w:r>
        <w:r>
          <w:rPr>
            <w:rFonts w:ascii="宋体" w:hAnsi="宋体" w:cs="宋体"/>
          </w:rPr>
          <w:instrText xml:space="preserve"> PAGEREF _Toc205489782 \h </w:instrText>
        </w:r>
        <w:r>
          <w:fldChar w:fldCharType="separate"/>
        </w:r>
        <w:r>
          <w:rPr>
            <w:rFonts w:ascii="宋体" w:hAnsi="宋体" w:cs="宋体"/>
          </w:rPr>
          <w:t>39</w:t>
        </w:r>
        <w:r>
          <w:fldChar w:fldCharType="end"/>
        </w:r>
      </w:hyperlink>
    </w:p>
    <w:p w:rsidR="00CB176C">
      <w:pPr>
        <w:pStyle w:val="TOC2"/>
        <w:rPr>
          <w:rFonts w:asciiTheme="minorHAnsi" w:eastAsiaTheme="minorEastAsia" w:hAnsiTheme="minorHAnsi" w:cstheme="minorBidi"/>
          <w:kern w:val="2"/>
          <w:szCs w:val="22"/>
          <w:lang w:eastAsia="zh-CN"/>
        </w:rPr>
      </w:pPr>
      <w:hyperlink w:anchor="_Toc205489783" w:history="1">
        <w:r>
          <w:rPr>
            <w:rStyle w:val="Hyperlink"/>
            <w:rFonts w:ascii="宋体" w:hAnsi="宋体" w:hint="eastAsia"/>
            <w:highlight w:val="white"/>
          </w:rPr>
          <w:t>二十</w:t>
        </w:r>
        <w:r>
          <w:rPr>
            <w:rStyle w:val="Hyperlink"/>
            <w:rFonts w:ascii="宋体" w:hAnsi="宋体" w:hint="eastAsia"/>
            <w:highlight w:val="white"/>
            <w:lang w:eastAsia="zh-CN"/>
          </w:rPr>
          <w:t>二</w:t>
        </w:r>
        <w:r>
          <w:rPr>
            <w:rStyle w:val="Hyperlink"/>
            <w:rFonts w:ascii="宋体" w:hAnsi="宋体" w:hint="eastAsia"/>
            <w:highlight w:val="white"/>
          </w:rPr>
          <w:t>、托管协议的签订</w:t>
        </w:r>
        <w:r>
          <w:rPr>
            <w:rFonts w:ascii="宋体" w:hAnsi="宋体" w:cs="宋体"/>
          </w:rPr>
          <w:tab/>
        </w:r>
        <w:r>
          <w:fldChar w:fldCharType="begin"/>
        </w:r>
        <w:r>
          <w:rPr>
            <w:rFonts w:ascii="宋体" w:hAnsi="宋体" w:cs="宋体"/>
          </w:rPr>
          <w:instrText xml:space="preserve"> PAGEREF</w:instrText>
        </w:r>
        <w:r>
          <w:rPr>
            <w:rFonts w:ascii="宋体" w:hAnsi="宋体" w:cs="宋体"/>
          </w:rPr>
          <w:instrText xml:space="preserve"> _Toc205489783 \h </w:instrText>
        </w:r>
        <w:r>
          <w:fldChar w:fldCharType="separate"/>
        </w:r>
        <w:r>
          <w:rPr>
            <w:rFonts w:ascii="宋体" w:hAnsi="宋体" w:cs="宋体"/>
          </w:rPr>
          <w:t>40</w:t>
        </w:r>
        <w:r>
          <w:fldChar w:fldCharType="end"/>
        </w:r>
      </w:hyperlink>
    </w:p>
    <w:p w:rsidR="00CB176C">
      <w:pPr>
        <w:spacing w:after="156" w:afterLines="50" w:line="288" w:lineRule="auto"/>
        <w:rPr>
          <w:rFonts w:ascii="宋体" w:hAnsi="宋体"/>
          <w:sz w:val="24"/>
        </w:rPr>
      </w:pPr>
      <w:r>
        <w:rPr>
          <w:rFonts w:ascii="宋体" w:hAnsi="宋体" w:hint="eastAsia"/>
          <w:sz w:val="24"/>
        </w:rPr>
        <w:fldChar w:fldCharType="end"/>
      </w:r>
    </w:p>
    <w:p w:rsidR="00CB176C">
      <w:pPr>
        <w:spacing w:after="156" w:afterLines="50" w:line="288" w:lineRule="auto"/>
        <w:rPr>
          <w:rFonts w:ascii="宋体" w:hAnsi="宋体"/>
          <w:sz w:val="24"/>
        </w:rPr>
      </w:pPr>
      <w:r>
        <w:rPr>
          <w:rFonts w:ascii="宋体" w:hAnsi="宋体"/>
          <w:sz w:val="24"/>
          <w:highlight w:val="white"/>
        </w:rPr>
        <w:br w:type="page"/>
      </w:r>
    </w:p>
    <w:p w:rsidR="00CB176C">
      <w:pPr>
        <w:widowControl/>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鉴于易方达基金管理有限公司系一家依照中国法律合法成立并有效存续的有限责任公司，按照相关法律法规的规定具备担任基金管理人的资格和能力，拟募集发行</w:t>
      </w:r>
      <w:r>
        <w:rPr>
          <w:rFonts w:ascii="宋体" w:hAnsi="宋体" w:cs="宋体"/>
          <w:sz w:val="24"/>
          <w:lang w:eastAsia="zh-CN"/>
        </w:rPr>
        <w:t>易方达港股通消费混合型证券投资基金</w:t>
      </w:r>
      <w:r>
        <w:rPr>
          <w:rFonts w:ascii="宋体" w:hAnsi="宋体" w:cs="Arial" w:hint="eastAsia"/>
          <w:sz w:val="24"/>
          <w:highlight w:val="white"/>
          <w:lang w:eastAsia="zh-CN"/>
        </w:rPr>
        <w:t>；</w:t>
      </w:r>
    </w:p>
    <w:p w:rsidR="00CB176C">
      <w:pPr>
        <w:widowControl/>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鉴于</w:t>
      </w:r>
      <w:r>
        <w:rPr>
          <w:rFonts w:ascii="宋体" w:hAnsi="宋体" w:cs="Arial"/>
          <w:sz w:val="24"/>
          <w:highlight w:val="white"/>
          <w:lang w:eastAsia="zh-CN"/>
        </w:rPr>
        <w:t>汇丰银行（中国）有限公司</w:t>
      </w:r>
      <w:r>
        <w:rPr>
          <w:rFonts w:ascii="宋体" w:hAnsi="宋体" w:cs="Arial" w:hint="eastAsia"/>
          <w:sz w:val="24"/>
          <w:highlight w:val="white"/>
          <w:lang w:eastAsia="zh-CN"/>
        </w:rPr>
        <w:t>系一家依照</w:t>
      </w:r>
      <w:r>
        <w:rPr>
          <w:rFonts w:ascii="宋体" w:hAnsi="宋体" w:cs="Arial"/>
          <w:sz w:val="24"/>
          <w:highlight w:val="white"/>
          <w:lang w:eastAsia="zh-CN"/>
        </w:rPr>
        <w:t>中国</w:t>
      </w:r>
      <w:r>
        <w:rPr>
          <w:rFonts w:ascii="宋体" w:hAnsi="宋体" w:cs="Arial" w:hint="eastAsia"/>
          <w:sz w:val="24"/>
          <w:highlight w:val="white"/>
          <w:lang w:eastAsia="zh-CN"/>
        </w:rPr>
        <w:t>法律合法成立并有效存续的银行，按照相关法律法规的规定具备担任基金托管人的资格和能力；</w:t>
      </w:r>
    </w:p>
    <w:p w:rsidR="00CB176C">
      <w:pPr>
        <w:widowControl/>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鉴于易方达基金管理有限公司拟担任</w:t>
      </w:r>
      <w:r>
        <w:rPr>
          <w:rFonts w:ascii="宋体" w:hAnsi="宋体" w:cs="宋体"/>
          <w:sz w:val="24"/>
          <w:lang w:eastAsia="zh-CN"/>
        </w:rPr>
        <w:t>易方达港股通消费混合型证券投资基金</w:t>
      </w:r>
      <w:r>
        <w:rPr>
          <w:rFonts w:ascii="宋体" w:hAnsi="宋体" w:cs="Arial" w:hint="eastAsia"/>
          <w:sz w:val="24"/>
          <w:highlight w:val="white"/>
          <w:lang w:eastAsia="zh-CN"/>
        </w:rPr>
        <w:t>的基金管理人，</w:t>
      </w:r>
      <w:r>
        <w:rPr>
          <w:rFonts w:ascii="宋体" w:hAnsi="宋体" w:cs="Arial"/>
          <w:sz w:val="24"/>
          <w:highlight w:val="white"/>
          <w:lang w:eastAsia="zh-CN"/>
        </w:rPr>
        <w:t>汇丰银行（中国）有限公司</w:t>
      </w:r>
      <w:r>
        <w:rPr>
          <w:rFonts w:ascii="宋体" w:hAnsi="宋体" w:cs="Arial" w:hint="eastAsia"/>
          <w:sz w:val="24"/>
          <w:highlight w:val="white"/>
          <w:lang w:eastAsia="zh-CN"/>
        </w:rPr>
        <w:t>拟担任</w:t>
      </w:r>
      <w:r>
        <w:rPr>
          <w:rFonts w:ascii="宋体" w:hAnsi="宋体" w:cs="宋体"/>
          <w:sz w:val="24"/>
          <w:lang w:eastAsia="zh-CN"/>
        </w:rPr>
        <w:t>易方达港股通消费混合型证券投资基金</w:t>
      </w:r>
      <w:r>
        <w:rPr>
          <w:rFonts w:ascii="宋体" w:hAnsi="宋体" w:cs="Arial" w:hint="eastAsia"/>
          <w:sz w:val="24"/>
          <w:highlight w:val="white"/>
          <w:lang w:eastAsia="zh-CN"/>
        </w:rPr>
        <w:t>的基金托管人；</w:t>
      </w:r>
    </w:p>
    <w:p w:rsidR="00CB176C">
      <w:pPr>
        <w:widowControl/>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为明确</w:t>
      </w:r>
      <w:r>
        <w:rPr>
          <w:rFonts w:ascii="宋体" w:hAnsi="宋体" w:cs="宋体"/>
          <w:sz w:val="24"/>
          <w:lang w:eastAsia="zh-CN"/>
        </w:rPr>
        <w:t>易方达港股通消费混合型证券投资基金</w:t>
      </w:r>
      <w:r>
        <w:rPr>
          <w:rFonts w:ascii="宋体" w:hAnsi="宋体" w:cs="Arial" w:hint="eastAsia"/>
          <w:sz w:val="24"/>
          <w:highlight w:val="white"/>
          <w:lang w:eastAsia="zh-CN"/>
        </w:rPr>
        <w:t>的基金管理人和基金托管人之间的权利义务关系，特制订本托管协议；</w:t>
      </w:r>
    </w:p>
    <w:p w:rsidR="00CB176C">
      <w:pPr>
        <w:widowControl/>
        <w:snapToGrid w:val="0"/>
        <w:spacing w:after="156" w:afterLines="50" w:line="288" w:lineRule="auto"/>
        <w:ind w:firstLine="480" w:firstLineChars="200"/>
        <w:rPr>
          <w:rFonts w:ascii="宋体" w:hAnsi="宋体" w:cs="Arial"/>
          <w:sz w:val="24"/>
          <w:lang w:val="en-GB" w:eastAsia="zh-CN"/>
        </w:rPr>
      </w:pPr>
      <w:r>
        <w:rPr>
          <w:rFonts w:ascii="宋体" w:hAnsi="宋体" w:cs="Arial" w:hint="eastAsia"/>
          <w:sz w:val="24"/>
          <w:highlight w:val="white"/>
          <w:lang w:val="en-GB" w:eastAsia="zh-CN"/>
        </w:rPr>
        <w:t>除非另有约定，《</w:t>
      </w:r>
      <w:r>
        <w:rPr>
          <w:rFonts w:ascii="宋体" w:hAnsi="宋体" w:cs="宋体"/>
          <w:sz w:val="24"/>
          <w:lang w:eastAsia="zh-CN"/>
        </w:rPr>
        <w:t>易方达港股通消费混合型证券投资基金</w:t>
      </w:r>
      <w:r>
        <w:rPr>
          <w:rFonts w:ascii="宋体" w:hAnsi="宋体" w:cs="Arial" w:hint="eastAsia"/>
          <w:sz w:val="24"/>
          <w:highlight w:val="white"/>
          <w:lang w:val="en-GB" w:eastAsia="zh-CN"/>
        </w:rPr>
        <w:t>基金合同》</w:t>
      </w:r>
      <w:r>
        <w:rPr>
          <w:rFonts w:ascii="宋体" w:hAnsi="宋体" w:cs="Arial" w:hint="eastAsia"/>
          <w:sz w:val="24"/>
          <w:highlight w:val="white"/>
          <w:lang w:val="en-GB" w:eastAsia="zh-CN"/>
        </w:rPr>
        <w:t>(</w:t>
      </w:r>
      <w:r>
        <w:rPr>
          <w:rFonts w:ascii="宋体" w:hAnsi="宋体" w:cs="Arial" w:hint="eastAsia"/>
          <w:sz w:val="24"/>
          <w:highlight w:val="white"/>
          <w:lang w:val="en-GB" w:eastAsia="zh-CN"/>
        </w:rPr>
        <w:t>以下简称“基金合同”</w:t>
      </w:r>
      <w:r>
        <w:rPr>
          <w:rFonts w:ascii="宋体" w:hAnsi="宋体" w:cs="Arial" w:hint="eastAsia"/>
          <w:sz w:val="24"/>
          <w:highlight w:val="white"/>
          <w:lang w:val="en-GB" w:eastAsia="zh-CN"/>
        </w:rPr>
        <w:t>)</w:t>
      </w:r>
      <w:r>
        <w:rPr>
          <w:rFonts w:ascii="宋体" w:hAnsi="宋体" w:cs="Arial" w:hint="eastAsia"/>
          <w:sz w:val="24"/>
          <w:highlight w:val="white"/>
          <w:lang w:val="en-GB" w:eastAsia="zh-CN"/>
        </w:rPr>
        <w:t>中定义的术语在用于本托管协议时应具有相同的含义；若有抵触应以基金合同为准，并依其</w:t>
      </w:r>
      <w:r>
        <w:rPr>
          <w:rFonts w:ascii="宋体" w:hAnsi="宋体" w:cs="Arial" w:hint="eastAsia"/>
          <w:sz w:val="24"/>
          <w:highlight w:val="white"/>
          <w:lang w:eastAsia="zh-CN"/>
        </w:rPr>
        <w:t>条款</w:t>
      </w:r>
      <w:r>
        <w:rPr>
          <w:rFonts w:ascii="宋体" w:hAnsi="宋体" w:cs="Arial" w:hint="eastAsia"/>
          <w:sz w:val="24"/>
          <w:highlight w:val="white"/>
          <w:lang w:val="en-GB" w:eastAsia="zh-CN"/>
        </w:rPr>
        <w:t>解释。</w:t>
      </w:r>
    </w:p>
    <w:p w:rsidR="00CB176C">
      <w:pPr>
        <w:widowControl/>
        <w:snapToGrid w:val="0"/>
        <w:spacing w:after="156" w:afterLines="50" w:line="288" w:lineRule="auto"/>
        <w:ind w:firstLine="480" w:firstLineChars="200"/>
        <w:rPr>
          <w:rFonts w:ascii="宋体" w:hAnsi="宋体" w:cs="Arial"/>
          <w:sz w:val="24"/>
          <w:lang w:val="en-GB" w:eastAsia="zh-CN"/>
        </w:rPr>
      </w:pPr>
      <w:r>
        <w:rPr>
          <w:rFonts w:ascii="宋体" w:hAnsi="宋体" w:cs="Arial" w:hint="eastAsia"/>
          <w:sz w:val="24"/>
          <w:highlight w:val="white"/>
          <w:lang w:val="en-GB" w:eastAsia="zh-CN"/>
        </w:rPr>
        <w:t>若本基金实施侧袋机制的，侧袋机制实施期间的相关安排见基金合同和招募说明书</w:t>
      </w:r>
      <w:r>
        <w:rPr>
          <w:rFonts w:ascii="宋体" w:hAnsi="宋体" w:cs="Arial" w:hint="eastAsia"/>
          <w:sz w:val="24"/>
          <w:highlight w:val="white"/>
          <w:lang w:val="en-GB" w:eastAsia="zh-CN"/>
        </w:rPr>
        <w:t>的规定。</w:t>
      </w:r>
    </w:p>
    <w:p w:rsidR="00CB176C">
      <w:pPr>
        <w:pStyle w:val="Heading2"/>
        <w:spacing w:before="0" w:after="156" w:afterLines="50" w:line="288" w:lineRule="auto"/>
        <w:jc w:val="center"/>
        <w:rPr>
          <w:rFonts w:ascii="宋体" w:eastAsia="宋体" w:hAnsi="宋体"/>
          <w:lang w:eastAsia="zh-CN"/>
        </w:rPr>
      </w:pPr>
      <w:bookmarkStart w:id="13" w:name="_Toc124325885"/>
      <w:bookmarkStart w:id="14" w:name="_Toc205489762"/>
      <w:r>
        <w:rPr>
          <w:rFonts w:ascii="宋体" w:eastAsia="宋体" w:hAnsi="宋体" w:hint="eastAsia"/>
          <w:highlight w:val="white"/>
          <w:lang w:eastAsia="zh-CN"/>
        </w:rPr>
        <w:t>一、基金托管协议当事人</w:t>
      </w:r>
      <w:bookmarkEnd w:id="13"/>
      <w:bookmarkEnd w:id="14"/>
    </w:p>
    <w:p w:rsidR="00CB176C">
      <w:pPr>
        <w:snapToGrid w:val="0"/>
        <w:spacing w:after="156" w:afterLines="50" w:line="288" w:lineRule="auto"/>
        <w:ind w:firstLine="480" w:firstLineChars="200"/>
        <w:outlineLvl w:val="0"/>
        <w:rPr>
          <w:rFonts w:ascii="宋体" w:hAnsi="宋体" w:cs="Arial"/>
          <w:sz w:val="24"/>
          <w:lang w:eastAsia="zh-CN"/>
        </w:rPr>
      </w:pPr>
      <w:r>
        <w:rPr>
          <w:rFonts w:ascii="宋体" w:hAnsi="宋体" w:cs="Arial" w:hint="eastAsia"/>
          <w:sz w:val="24"/>
          <w:highlight w:val="white"/>
          <w:lang w:eastAsia="zh-CN"/>
        </w:rPr>
        <w:t>（一）基金管理人</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名称：易方达基金管理有限公司</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住所：广东省珠海市横琴新区荣粤道</w:t>
      </w:r>
      <w:r>
        <w:rPr>
          <w:rFonts w:ascii="宋体" w:hAnsi="宋体" w:cs="Arial" w:hint="eastAsia"/>
          <w:sz w:val="24"/>
          <w:highlight w:val="white"/>
          <w:lang w:eastAsia="zh-CN"/>
        </w:rPr>
        <w:t>188</w:t>
      </w:r>
      <w:r>
        <w:rPr>
          <w:rFonts w:ascii="宋体" w:hAnsi="宋体" w:cs="Arial" w:hint="eastAsia"/>
          <w:sz w:val="24"/>
          <w:highlight w:val="white"/>
          <w:lang w:eastAsia="zh-CN"/>
        </w:rPr>
        <w:t>号</w:t>
      </w:r>
      <w:r>
        <w:rPr>
          <w:rFonts w:ascii="宋体" w:hAnsi="宋体" w:cs="Arial" w:hint="eastAsia"/>
          <w:sz w:val="24"/>
          <w:highlight w:val="white"/>
          <w:lang w:eastAsia="zh-CN"/>
        </w:rPr>
        <w:t>6</w:t>
      </w:r>
      <w:r>
        <w:rPr>
          <w:rFonts w:ascii="宋体" w:hAnsi="宋体" w:cs="Arial" w:hint="eastAsia"/>
          <w:sz w:val="24"/>
          <w:highlight w:val="white"/>
          <w:lang w:eastAsia="zh-CN"/>
        </w:rPr>
        <w:t>层</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法定代表人：吴欣荣</w:t>
      </w:r>
      <w:r>
        <w:rPr>
          <w:rFonts w:ascii="宋体" w:hAnsi="宋体" w:cs="Arial" w:hint="eastAsia"/>
          <w:sz w:val="24"/>
          <w:highlight w:val="white"/>
          <w:lang w:eastAsia="zh-CN"/>
        </w:rPr>
        <w:t xml:space="preserve"> </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设立日期：</w:t>
      </w:r>
      <w:r>
        <w:rPr>
          <w:rFonts w:ascii="宋体" w:hAnsi="宋体" w:cs="Arial" w:hint="eastAsia"/>
          <w:sz w:val="24"/>
          <w:highlight w:val="white"/>
          <w:lang w:eastAsia="zh-CN"/>
        </w:rPr>
        <w:t>2001</w:t>
      </w:r>
      <w:r>
        <w:rPr>
          <w:rFonts w:ascii="宋体" w:hAnsi="宋体" w:cs="Arial" w:hint="eastAsia"/>
          <w:sz w:val="24"/>
          <w:highlight w:val="white"/>
          <w:lang w:eastAsia="zh-CN"/>
        </w:rPr>
        <w:t>年</w:t>
      </w:r>
      <w:r>
        <w:rPr>
          <w:rFonts w:ascii="宋体" w:hAnsi="宋体" w:cs="Arial" w:hint="eastAsia"/>
          <w:sz w:val="24"/>
          <w:highlight w:val="white"/>
          <w:lang w:eastAsia="zh-CN"/>
        </w:rPr>
        <w:t>4</w:t>
      </w:r>
      <w:r>
        <w:rPr>
          <w:rFonts w:ascii="宋体" w:hAnsi="宋体" w:cs="Arial" w:hint="eastAsia"/>
          <w:sz w:val="24"/>
          <w:highlight w:val="white"/>
          <w:lang w:eastAsia="zh-CN"/>
        </w:rPr>
        <w:t>月</w:t>
      </w:r>
      <w:r>
        <w:rPr>
          <w:rFonts w:ascii="宋体" w:hAnsi="宋体" w:cs="Arial" w:hint="eastAsia"/>
          <w:sz w:val="24"/>
          <w:highlight w:val="white"/>
          <w:lang w:eastAsia="zh-CN"/>
        </w:rPr>
        <w:t>17</w:t>
      </w:r>
      <w:r>
        <w:rPr>
          <w:rFonts w:ascii="宋体" w:hAnsi="宋体" w:cs="Arial" w:hint="eastAsia"/>
          <w:sz w:val="24"/>
          <w:highlight w:val="white"/>
          <w:lang w:eastAsia="zh-CN"/>
        </w:rPr>
        <w:t>日</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批准设立机关及批准设立文号：中国证券监督管理委员会，证监基金字</w:t>
      </w:r>
      <w:r>
        <w:rPr>
          <w:rFonts w:ascii="宋体" w:hAnsi="宋体" w:cs="Arial" w:hint="eastAsia"/>
          <w:sz w:val="24"/>
          <w:highlight w:val="white"/>
          <w:lang w:eastAsia="zh-CN"/>
        </w:rPr>
        <w:t>[2001]4</w:t>
      </w:r>
      <w:r>
        <w:rPr>
          <w:rFonts w:ascii="宋体" w:hAnsi="宋体" w:cs="Arial" w:hint="eastAsia"/>
          <w:sz w:val="24"/>
          <w:highlight w:val="white"/>
          <w:lang w:eastAsia="zh-CN"/>
        </w:rPr>
        <w:t>号</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组织形式：有限责任公司</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注册资本：</w:t>
      </w:r>
      <w:r>
        <w:rPr>
          <w:rFonts w:ascii="宋体" w:hAnsi="宋体" w:cs="Arial" w:hint="eastAsia"/>
          <w:sz w:val="24"/>
          <w:highlight w:val="white"/>
          <w:lang w:eastAsia="zh-CN"/>
        </w:rPr>
        <w:t>13,244.2</w:t>
      </w:r>
      <w:r>
        <w:rPr>
          <w:rFonts w:ascii="宋体" w:hAnsi="宋体" w:cs="Arial" w:hint="eastAsia"/>
          <w:sz w:val="24"/>
          <w:highlight w:val="white"/>
          <w:lang w:eastAsia="zh-CN"/>
        </w:rPr>
        <w:t>万元人民币</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存续期限：持续经营</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联系电话：</w:t>
      </w:r>
      <w:r>
        <w:rPr>
          <w:rFonts w:ascii="宋体" w:hAnsi="宋体" w:cs="Arial" w:hint="eastAsia"/>
          <w:sz w:val="24"/>
          <w:highlight w:val="white"/>
          <w:lang w:eastAsia="zh-CN"/>
        </w:rPr>
        <w:t>4008818088</w:t>
      </w:r>
    </w:p>
    <w:p w:rsidR="00CB176C">
      <w:pPr>
        <w:snapToGrid w:val="0"/>
        <w:spacing w:after="156" w:afterLines="50" w:line="288" w:lineRule="auto"/>
        <w:ind w:firstLine="480" w:firstLineChars="200"/>
        <w:outlineLvl w:val="0"/>
        <w:rPr>
          <w:rFonts w:ascii="宋体" w:hAnsi="宋体" w:cs="Arial"/>
          <w:sz w:val="24"/>
          <w:lang w:eastAsia="zh-CN"/>
        </w:rPr>
      </w:pPr>
      <w:r>
        <w:rPr>
          <w:rFonts w:ascii="宋体" w:hAnsi="宋体" w:cs="Arial" w:hint="eastAsia"/>
          <w:sz w:val="24"/>
          <w:highlight w:val="white"/>
          <w:lang w:eastAsia="zh-CN"/>
        </w:rPr>
        <w:t>（二）基金托管人</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名称：汇丰银行（中国）有限公司</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住所：</w:t>
      </w:r>
      <w:r>
        <w:rPr>
          <w:rFonts w:ascii="宋体" w:hAnsi="宋体" w:cs="Arial"/>
          <w:sz w:val="24"/>
          <w:highlight w:val="white"/>
          <w:lang w:eastAsia="zh-CN"/>
        </w:rPr>
        <w:t>中国（上海）自由贸易试验区世纪大道</w:t>
      </w:r>
      <w:r>
        <w:rPr>
          <w:rFonts w:ascii="宋体" w:hAnsi="宋体" w:cs="Arial"/>
          <w:sz w:val="24"/>
          <w:highlight w:val="white"/>
          <w:lang w:eastAsia="zh-CN"/>
        </w:rPr>
        <w:t>8</w:t>
      </w:r>
      <w:r>
        <w:rPr>
          <w:rFonts w:ascii="宋体" w:hAnsi="宋体" w:cs="Arial"/>
          <w:sz w:val="24"/>
          <w:highlight w:val="white"/>
          <w:lang w:eastAsia="zh-CN"/>
        </w:rPr>
        <w:t>号上海国金中心汇丰银行大楼</w:t>
      </w:r>
      <w:r>
        <w:rPr>
          <w:rFonts w:ascii="宋体" w:hAnsi="宋体" w:cs="Arial"/>
          <w:sz w:val="24"/>
          <w:highlight w:val="white"/>
          <w:lang w:eastAsia="zh-CN"/>
        </w:rPr>
        <w:t>21</w:t>
      </w:r>
      <w:r>
        <w:rPr>
          <w:rFonts w:ascii="宋体" w:hAnsi="宋体" w:cs="Arial"/>
          <w:sz w:val="24"/>
          <w:highlight w:val="white"/>
          <w:lang w:eastAsia="zh-CN"/>
        </w:rPr>
        <w:t>楼</w:t>
      </w:r>
      <w:r>
        <w:rPr>
          <w:rFonts w:ascii="宋体" w:hAnsi="宋体" w:cs="Arial"/>
          <w:sz w:val="24"/>
          <w:highlight w:val="white"/>
          <w:lang w:eastAsia="zh-CN"/>
        </w:rPr>
        <w:t>02-03</w:t>
      </w:r>
      <w:r>
        <w:rPr>
          <w:rFonts w:ascii="宋体" w:hAnsi="宋体" w:cs="Arial"/>
          <w:sz w:val="24"/>
          <w:highlight w:val="white"/>
          <w:lang w:eastAsia="zh-CN"/>
        </w:rPr>
        <w:t>室</w:t>
      </w:r>
      <w:r>
        <w:rPr>
          <w:rFonts w:ascii="宋体" w:hAnsi="宋体" w:cs="Arial"/>
          <w:sz w:val="24"/>
          <w:highlight w:val="white"/>
          <w:lang w:eastAsia="zh-CN"/>
        </w:rPr>
        <w:t>,25</w:t>
      </w:r>
      <w:r>
        <w:rPr>
          <w:rFonts w:ascii="宋体" w:hAnsi="宋体" w:cs="Arial"/>
          <w:sz w:val="24"/>
          <w:highlight w:val="white"/>
          <w:lang w:eastAsia="zh-CN"/>
        </w:rPr>
        <w:t>楼</w:t>
      </w:r>
      <w:r>
        <w:rPr>
          <w:rFonts w:ascii="宋体" w:hAnsi="宋体" w:cs="Arial"/>
          <w:sz w:val="24"/>
          <w:highlight w:val="white"/>
          <w:lang w:eastAsia="zh-CN"/>
        </w:rPr>
        <w:t>01</w:t>
      </w:r>
      <w:r>
        <w:rPr>
          <w:rFonts w:ascii="宋体" w:hAnsi="宋体" w:cs="Arial"/>
          <w:sz w:val="24"/>
          <w:highlight w:val="white"/>
          <w:lang w:eastAsia="zh-CN"/>
        </w:rPr>
        <w:t>室</w:t>
      </w:r>
      <w:r>
        <w:rPr>
          <w:rFonts w:ascii="宋体" w:hAnsi="宋体" w:cs="Arial"/>
          <w:sz w:val="24"/>
          <w:highlight w:val="white"/>
          <w:lang w:eastAsia="zh-CN"/>
        </w:rPr>
        <w:t>,26</w:t>
      </w:r>
      <w:r>
        <w:rPr>
          <w:rFonts w:ascii="宋体" w:hAnsi="宋体" w:cs="Arial"/>
          <w:sz w:val="24"/>
          <w:highlight w:val="white"/>
          <w:lang w:eastAsia="zh-CN"/>
        </w:rPr>
        <w:t>楼</w:t>
      </w:r>
      <w:r>
        <w:rPr>
          <w:rFonts w:ascii="宋体" w:hAnsi="宋体" w:cs="Arial"/>
          <w:sz w:val="24"/>
          <w:highlight w:val="white"/>
          <w:lang w:eastAsia="zh-CN"/>
        </w:rPr>
        <w:t>01</w:t>
      </w:r>
      <w:r>
        <w:rPr>
          <w:rFonts w:ascii="宋体" w:hAnsi="宋体" w:cs="Arial"/>
          <w:sz w:val="24"/>
          <w:highlight w:val="white"/>
          <w:lang w:eastAsia="zh-CN"/>
        </w:rPr>
        <w:t>室</w:t>
      </w:r>
      <w:r>
        <w:rPr>
          <w:rFonts w:ascii="宋体" w:hAnsi="宋体" w:cs="Arial"/>
          <w:sz w:val="24"/>
          <w:highlight w:val="white"/>
          <w:lang w:eastAsia="zh-CN"/>
        </w:rPr>
        <w:t>,27</w:t>
      </w:r>
      <w:r>
        <w:rPr>
          <w:rFonts w:ascii="宋体" w:hAnsi="宋体" w:cs="Arial"/>
          <w:sz w:val="24"/>
          <w:highlight w:val="white"/>
          <w:lang w:eastAsia="zh-CN"/>
        </w:rPr>
        <w:t>楼</w:t>
      </w:r>
      <w:r>
        <w:rPr>
          <w:rFonts w:ascii="宋体" w:hAnsi="宋体" w:cs="Arial"/>
          <w:sz w:val="24"/>
          <w:highlight w:val="white"/>
          <w:lang w:eastAsia="zh-CN"/>
        </w:rPr>
        <w:t>01</w:t>
      </w:r>
      <w:r>
        <w:rPr>
          <w:rFonts w:ascii="宋体" w:hAnsi="宋体" w:cs="Arial"/>
          <w:sz w:val="24"/>
          <w:highlight w:val="white"/>
          <w:lang w:eastAsia="zh-CN"/>
        </w:rPr>
        <w:t>室</w:t>
      </w:r>
      <w:r>
        <w:rPr>
          <w:rFonts w:ascii="宋体" w:hAnsi="宋体" w:cs="Arial"/>
          <w:sz w:val="24"/>
          <w:highlight w:val="white"/>
          <w:lang w:eastAsia="zh-CN"/>
        </w:rPr>
        <w:t>,28</w:t>
      </w:r>
      <w:r>
        <w:rPr>
          <w:rFonts w:ascii="宋体" w:hAnsi="宋体" w:cs="Arial"/>
          <w:sz w:val="24"/>
          <w:highlight w:val="white"/>
          <w:lang w:eastAsia="zh-CN"/>
        </w:rPr>
        <w:t>楼</w:t>
      </w:r>
      <w:r>
        <w:rPr>
          <w:rFonts w:ascii="宋体" w:hAnsi="宋体" w:cs="Arial"/>
          <w:sz w:val="24"/>
          <w:highlight w:val="white"/>
          <w:lang w:eastAsia="zh-CN"/>
        </w:rPr>
        <w:t>01</w:t>
      </w:r>
      <w:r>
        <w:rPr>
          <w:rFonts w:ascii="宋体" w:hAnsi="宋体" w:cs="Arial"/>
          <w:sz w:val="24"/>
          <w:highlight w:val="white"/>
          <w:lang w:eastAsia="zh-CN"/>
        </w:rPr>
        <w:t>室</w:t>
      </w:r>
      <w:r>
        <w:rPr>
          <w:rFonts w:ascii="宋体" w:hAnsi="宋体" w:cs="Arial"/>
          <w:sz w:val="24"/>
          <w:highlight w:val="white"/>
          <w:lang w:eastAsia="zh-CN"/>
        </w:rPr>
        <w:t>,30</w:t>
      </w:r>
      <w:r>
        <w:rPr>
          <w:rFonts w:ascii="宋体" w:hAnsi="宋体" w:cs="Arial"/>
          <w:sz w:val="24"/>
          <w:highlight w:val="white"/>
          <w:lang w:eastAsia="zh-CN"/>
        </w:rPr>
        <w:t>楼</w:t>
      </w:r>
      <w:r>
        <w:rPr>
          <w:rFonts w:ascii="宋体" w:hAnsi="宋体" w:cs="Arial"/>
          <w:sz w:val="24"/>
          <w:highlight w:val="white"/>
          <w:lang w:eastAsia="zh-CN"/>
        </w:rPr>
        <w:t>01</w:t>
      </w:r>
      <w:r>
        <w:rPr>
          <w:rFonts w:ascii="宋体" w:hAnsi="宋体" w:cs="Arial"/>
          <w:sz w:val="24"/>
          <w:highlight w:val="white"/>
          <w:lang w:eastAsia="zh-CN"/>
        </w:rPr>
        <w:t>室</w:t>
      </w:r>
      <w:r>
        <w:rPr>
          <w:rFonts w:ascii="宋体" w:hAnsi="宋体" w:cs="Arial"/>
          <w:sz w:val="24"/>
          <w:highlight w:val="white"/>
          <w:lang w:eastAsia="zh-CN"/>
        </w:rPr>
        <w:t>,31</w:t>
      </w:r>
      <w:r>
        <w:rPr>
          <w:rFonts w:ascii="宋体" w:hAnsi="宋体" w:cs="Arial"/>
          <w:sz w:val="24"/>
          <w:highlight w:val="white"/>
          <w:lang w:eastAsia="zh-CN"/>
        </w:rPr>
        <w:t>楼</w:t>
      </w:r>
      <w:r>
        <w:rPr>
          <w:rFonts w:ascii="宋体" w:hAnsi="宋体" w:cs="Arial"/>
          <w:sz w:val="24"/>
          <w:highlight w:val="white"/>
          <w:lang w:eastAsia="zh-CN"/>
        </w:rPr>
        <w:t>01</w:t>
      </w:r>
      <w:r>
        <w:rPr>
          <w:rFonts w:ascii="宋体" w:hAnsi="宋体" w:cs="Arial"/>
          <w:sz w:val="24"/>
          <w:highlight w:val="white"/>
          <w:lang w:eastAsia="zh-CN"/>
        </w:rPr>
        <w:t>室</w:t>
      </w:r>
      <w:r>
        <w:rPr>
          <w:rFonts w:ascii="宋体" w:hAnsi="宋体" w:cs="Arial"/>
          <w:sz w:val="24"/>
          <w:highlight w:val="white"/>
          <w:lang w:eastAsia="zh-CN"/>
        </w:rPr>
        <w:t>,32</w:t>
      </w:r>
      <w:r>
        <w:rPr>
          <w:rFonts w:ascii="宋体" w:hAnsi="宋体" w:cs="Arial"/>
          <w:sz w:val="24"/>
          <w:highlight w:val="white"/>
          <w:lang w:eastAsia="zh-CN"/>
        </w:rPr>
        <w:t>楼</w:t>
      </w:r>
      <w:r>
        <w:rPr>
          <w:rFonts w:ascii="宋体" w:hAnsi="宋体" w:cs="Arial"/>
          <w:sz w:val="24"/>
          <w:highlight w:val="white"/>
          <w:lang w:eastAsia="zh-CN"/>
        </w:rPr>
        <w:t>,33</w:t>
      </w:r>
      <w:r>
        <w:rPr>
          <w:rFonts w:ascii="宋体" w:hAnsi="宋体" w:cs="Arial"/>
          <w:sz w:val="24"/>
          <w:highlight w:val="white"/>
          <w:lang w:eastAsia="zh-CN"/>
        </w:rPr>
        <w:t>楼</w:t>
      </w:r>
      <w:r>
        <w:rPr>
          <w:rFonts w:ascii="宋体" w:hAnsi="宋体" w:cs="Arial"/>
          <w:sz w:val="24"/>
          <w:highlight w:val="white"/>
          <w:lang w:eastAsia="zh-CN"/>
        </w:rPr>
        <w:t>,35</w:t>
      </w:r>
      <w:r>
        <w:rPr>
          <w:rFonts w:ascii="宋体" w:hAnsi="宋体" w:cs="Arial"/>
          <w:sz w:val="24"/>
          <w:highlight w:val="white"/>
          <w:lang w:eastAsia="zh-CN"/>
        </w:rPr>
        <w:t>楼</w:t>
      </w:r>
      <w:r>
        <w:rPr>
          <w:rFonts w:ascii="宋体" w:hAnsi="宋体" w:cs="Arial"/>
          <w:sz w:val="24"/>
          <w:highlight w:val="white"/>
          <w:lang w:eastAsia="zh-CN"/>
        </w:rPr>
        <w:t>,36</w:t>
      </w:r>
      <w:r>
        <w:rPr>
          <w:rFonts w:ascii="宋体" w:hAnsi="宋体" w:cs="Arial"/>
          <w:sz w:val="24"/>
          <w:highlight w:val="white"/>
          <w:lang w:eastAsia="zh-CN"/>
        </w:rPr>
        <w:t>楼</w:t>
      </w:r>
      <w:r>
        <w:rPr>
          <w:rFonts w:ascii="宋体" w:hAnsi="宋体" w:cs="Arial"/>
          <w:sz w:val="24"/>
          <w:highlight w:val="white"/>
          <w:lang w:eastAsia="zh-CN"/>
        </w:rPr>
        <w:t>,37</w:t>
      </w:r>
      <w:r>
        <w:rPr>
          <w:rFonts w:ascii="宋体" w:hAnsi="宋体" w:cs="Arial"/>
          <w:sz w:val="24"/>
          <w:highlight w:val="white"/>
          <w:lang w:eastAsia="zh-CN"/>
        </w:rPr>
        <w:t>楼</w:t>
      </w:r>
      <w:r>
        <w:rPr>
          <w:rFonts w:ascii="宋体" w:hAnsi="宋体" w:cs="Arial"/>
          <w:sz w:val="24"/>
          <w:highlight w:val="white"/>
          <w:lang w:eastAsia="zh-CN"/>
        </w:rPr>
        <w:t>,38</w:t>
      </w:r>
      <w:r>
        <w:rPr>
          <w:rFonts w:ascii="宋体" w:hAnsi="宋体" w:cs="Arial"/>
          <w:sz w:val="24"/>
          <w:highlight w:val="white"/>
          <w:lang w:eastAsia="zh-CN"/>
        </w:rPr>
        <w:t>楼</w:t>
      </w:r>
      <w:r>
        <w:rPr>
          <w:rFonts w:ascii="宋体" w:hAnsi="宋体" w:cs="Arial"/>
          <w:sz w:val="24"/>
          <w:highlight w:val="white"/>
          <w:lang w:eastAsia="zh-CN"/>
        </w:rPr>
        <w:t>01</w:t>
      </w:r>
      <w:r>
        <w:rPr>
          <w:rFonts w:ascii="宋体" w:hAnsi="宋体" w:cs="Arial"/>
          <w:sz w:val="24"/>
          <w:highlight w:val="white"/>
          <w:lang w:eastAsia="zh-CN"/>
        </w:rPr>
        <w:t>室</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办公地址：中国上海世纪大道</w:t>
      </w:r>
      <w:r>
        <w:rPr>
          <w:rFonts w:ascii="宋体" w:hAnsi="宋体" w:cs="Arial" w:hint="eastAsia"/>
          <w:sz w:val="24"/>
          <w:highlight w:val="white"/>
          <w:lang w:eastAsia="zh-CN"/>
        </w:rPr>
        <w:t>8</w:t>
      </w:r>
      <w:r>
        <w:rPr>
          <w:rFonts w:ascii="宋体" w:hAnsi="宋体" w:cs="Arial" w:hint="eastAsia"/>
          <w:sz w:val="24"/>
          <w:highlight w:val="white"/>
          <w:lang w:eastAsia="zh-CN"/>
        </w:rPr>
        <w:t>号上海国金中心汇丰银行大楼</w:t>
      </w:r>
      <w:r>
        <w:rPr>
          <w:rFonts w:ascii="宋体" w:hAnsi="宋体" w:cs="Arial" w:hint="eastAsia"/>
          <w:sz w:val="24"/>
          <w:highlight w:val="white"/>
          <w:lang w:eastAsia="zh-CN"/>
        </w:rPr>
        <w:t>33</w:t>
      </w:r>
      <w:r>
        <w:rPr>
          <w:rFonts w:ascii="宋体" w:hAnsi="宋体" w:cs="Arial" w:hint="eastAsia"/>
          <w:sz w:val="24"/>
          <w:highlight w:val="white"/>
          <w:lang w:eastAsia="zh-CN"/>
        </w:rPr>
        <w:t>楼</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邮政编码：</w:t>
      </w:r>
      <w:r>
        <w:rPr>
          <w:rFonts w:ascii="宋体" w:hAnsi="宋体" w:cs="Arial" w:hint="eastAsia"/>
          <w:sz w:val="24"/>
          <w:highlight w:val="white"/>
          <w:lang w:eastAsia="zh-CN"/>
        </w:rPr>
        <w:t>200120</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法定代表人：王云峰</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成立时间：</w:t>
      </w:r>
      <w:r>
        <w:rPr>
          <w:rFonts w:ascii="宋体" w:hAnsi="宋体" w:cs="Arial" w:hint="eastAsia"/>
          <w:sz w:val="24"/>
          <w:highlight w:val="white"/>
          <w:lang w:eastAsia="zh-CN"/>
        </w:rPr>
        <w:t>2007</w:t>
      </w:r>
      <w:r>
        <w:rPr>
          <w:rFonts w:ascii="宋体" w:hAnsi="宋体" w:cs="Arial" w:hint="eastAsia"/>
          <w:sz w:val="24"/>
          <w:highlight w:val="white"/>
          <w:lang w:eastAsia="zh-CN"/>
        </w:rPr>
        <w:t>年</w:t>
      </w:r>
      <w:r>
        <w:rPr>
          <w:rFonts w:ascii="宋体" w:hAnsi="宋体" w:cs="Arial" w:hint="eastAsia"/>
          <w:sz w:val="24"/>
          <w:highlight w:val="white"/>
          <w:lang w:eastAsia="zh-CN"/>
        </w:rPr>
        <w:t>3</w:t>
      </w:r>
      <w:r>
        <w:rPr>
          <w:rFonts w:ascii="宋体" w:hAnsi="宋体" w:cs="Arial" w:hint="eastAsia"/>
          <w:sz w:val="24"/>
          <w:highlight w:val="white"/>
          <w:lang w:eastAsia="zh-CN"/>
        </w:rPr>
        <w:t>月</w:t>
      </w:r>
      <w:r>
        <w:rPr>
          <w:rFonts w:ascii="宋体" w:hAnsi="宋体" w:cs="Arial" w:hint="eastAsia"/>
          <w:sz w:val="24"/>
          <w:highlight w:val="white"/>
          <w:lang w:eastAsia="zh-CN"/>
        </w:rPr>
        <w:t>29</w:t>
      </w:r>
      <w:r>
        <w:rPr>
          <w:rFonts w:ascii="宋体" w:hAnsi="宋体" w:cs="Arial" w:hint="eastAsia"/>
          <w:sz w:val="24"/>
          <w:highlight w:val="white"/>
          <w:lang w:eastAsia="zh-CN"/>
        </w:rPr>
        <w:t>日</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基金托管业务批准文号：证监许可〔</w:t>
      </w:r>
      <w:r>
        <w:rPr>
          <w:rFonts w:ascii="宋体" w:hAnsi="宋体" w:cs="Arial" w:hint="eastAsia"/>
          <w:sz w:val="24"/>
          <w:highlight w:val="white"/>
          <w:lang w:eastAsia="zh-CN"/>
        </w:rPr>
        <w:t>2024</w:t>
      </w:r>
      <w:r>
        <w:rPr>
          <w:rFonts w:ascii="宋体" w:hAnsi="宋体" w:cs="Arial" w:hint="eastAsia"/>
          <w:sz w:val="24"/>
          <w:highlight w:val="white"/>
          <w:lang w:eastAsia="zh-CN"/>
        </w:rPr>
        <w:t>〕</w:t>
      </w:r>
      <w:r>
        <w:rPr>
          <w:rFonts w:ascii="宋体" w:hAnsi="宋体" w:cs="Arial" w:hint="eastAsia"/>
          <w:sz w:val="24"/>
          <w:highlight w:val="white"/>
          <w:lang w:eastAsia="zh-CN"/>
        </w:rPr>
        <w:t>1420</w:t>
      </w:r>
      <w:r>
        <w:rPr>
          <w:rFonts w:ascii="宋体" w:hAnsi="宋体" w:cs="Arial" w:hint="eastAsia"/>
          <w:sz w:val="24"/>
          <w:highlight w:val="white"/>
          <w:lang w:eastAsia="zh-CN"/>
        </w:rPr>
        <w:t>号</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组织形式：有限责任公司（港澳台法人独资）</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注册资本：人民币</w:t>
      </w:r>
      <w:r>
        <w:rPr>
          <w:rFonts w:ascii="宋体" w:hAnsi="宋体" w:cs="Arial" w:hint="eastAsia"/>
          <w:sz w:val="24"/>
          <w:highlight w:val="white"/>
          <w:lang w:eastAsia="zh-CN"/>
        </w:rPr>
        <w:t>1540000.0000</w:t>
      </w:r>
      <w:r>
        <w:rPr>
          <w:rFonts w:ascii="宋体" w:hAnsi="宋体" w:cs="Arial" w:hint="eastAsia"/>
          <w:sz w:val="24"/>
          <w:highlight w:val="white"/>
          <w:lang w:eastAsia="zh-CN"/>
        </w:rPr>
        <w:t>万</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存续期间：无固定期限</w:t>
      </w:r>
    </w:p>
    <w:p w:rsidR="00CB176C">
      <w:pPr>
        <w:tabs>
          <w:tab w:val="left" w:pos="540"/>
        </w:tabs>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经营范围：</w:t>
      </w:r>
      <w:r>
        <w:rPr>
          <w:rFonts w:ascii="宋体" w:hAnsi="宋体" w:cs="Arial"/>
          <w:sz w:val="24"/>
          <w:highlight w:val="white"/>
          <w:lang w:eastAsia="zh-CN"/>
        </w:rPr>
        <w:t>银行业务；证券投资基金托管；公募证券投资基金销售。（依法须经批准的项目，经相关部门批准后方可开展经营活动，具体经营项目以相关部门批准文件或许可证件为准）</w:t>
      </w:r>
    </w:p>
    <w:p w:rsidR="00CB176C">
      <w:pPr>
        <w:tabs>
          <w:tab w:val="left" w:pos="540"/>
        </w:tabs>
        <w:snapToGrid w:val="0"/>
        <w:spacing w:after="156" w:afterLines="50" w:line="288" w:lineRule="auto"/>
        <w:ind w:firstLine="480" w:firstLineChars="200"/>
        <w:rPr>
          <w:rFonts w:ascii="宋体" w:hAnsi="宋体" w:cs="Arial"/>
          <w:sz w:val="24"/>
          <w:lang w:eastAsia="zh-CN"/>
        </w:rPr>
      </w:pPr>
    </w:p>
    <w:p w:rsidR="00CB176C">
      <w:pPr>
        <w:pStyle w:val="Heading2"/>
        <w:spacing w:before="0" w:after="156" w:afterLines="50" w:line="288" w:lineRule="auto"/>
        <w:jc w:val="center"/>
        <w:rPr>
          <w:rFonts w:ascii="宋体" w:eastAsia="宋体" w:hAnsi="宋体"/>
          <w:sz w:val="30"/>
          <w:lang w:eastAsia="zh-CN"/>
        </w:rPr>
      </w:pPr>
      <w:bookmarkStart w:id="15" w:name="_Toc205489763"/>
      <w:bookmarkStart w:id="16" w:name="_Toc124325886"/>
      <w:r>
        <w:rPr>
          <w:rFonts w:ascii="宋体" w:eastAsia="宋体" w:hAnsi="宋体" w:hint="eastAsia"/>
          <w:sz w:val="30"/>
          <w:highlight w:val="white"/>
          <w:lang w:eastAsia="zh-CN"/>
        </w:rPr>
        <w:t>二、基金托管协议的依据、目的和原则</w:t>
      </w:r>
      <w:bookmarkEnd w:id="15"/>
      <w:bookmarkEnd w:id="16"/>
    </w:p>
    <w:p w:rsidR="00CB176C">
      <w:pPr>
        <w:snapToGrid w:val="0"/>
        <w:spacing w:after="156" w:afterLines="50" w:line="288" w:lineRule="auto"/>
        <w:ind w:firstLine="480" w:firstLineChars="200"/>
        <w:rPr>
          <w:rFonts w:ascii="宋体" w:hAnsi="宋体"/>
          <w:sz w:val="24"/>
          <w:szCs w:val="30"/>
          <w:lang w:eastAsia="zh-CN"/>
        </w:rPr>
      </w:pPr>
      <w:r>
        <w:rPr>
          <w:rFonts w:ascii="宋体" w:hAnsi="宋体" w:cs="Arial" w:hint="eastAsia"/>
          <w:sz w:val="24"/>
          <w:highlight w:val="white"/>
          <w:lang w:eastAsia="zh-CN"/>
        </w:rPr>
        <w:t>（一）订立托管协议的依据</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本托管协议依据</w:t>
      </w:r>
      <w:r>
        <w:rPr>
          <w:bCs/>
          <w:sz w:val="24"/>
          <w:highlight w:val="white"/>
          <w:lang w:eastAsia="zh-CN"/>
        </w:rPr>
        <w:t>《中华人民共和国</w:t>
      </w:r>
      <w:r>
        <w:rPr>
          <w:rFonts w:hint="eastAsia"/>
          <w:bCs/>
          <w:sz w:val="24"/>
          <w:highlight w:val="white"/>
          <w:lang w:eastAsia="zh-CN"/>
        </w:rPr>
        <w:t>民法典》、</w:t>
      </w:r>
      <w:r>
        <w:rPr>
          <w:rFonts w:ascii="宋体" w:hAnsi="宋体" w:cs="Arial" w:hint="eastAsia"/>
          <w:sz w:val="24"/>
          <w:highlight w:val="white"/>
          <w:lang w:eastAsia="zh-CN"/>
        </w:rPr>
        <w:t>《中华人民共和国证券投资基金法》</w:t>
      </w:r>
      <w:r>
        <w:rPr>
          <w:rFonts w:ascii="宋体" w:hAnsi="宋体" w:cs="Arial" w:hint="eastAsia"/>
          <w:sz w:val="24"/>
          <w:highlight w:val="white"/>
          <w:lang w:eastAsia="zh-CN"/>
        </w:rPr>
        <w:t>(</w:t>
      </w:r>
      <w:r>
        <w:rPr>
          <w:rFonts w:ascii="宋体" w:hAnsi="宋体" w:cs="Arial" w:hint="eastAsia"/>
          <w:sz w:val="24"/>
          <w:highlight w:val="white"/>
          <w:lang w:eastAsia="zh-CN"/>
        </w:rPr>
        <w:t>以下简称“《基金法》”</w:t>
      </w:r>
      <w:r>
        <w:rPr>
          <w:rFonts w:ascii="宋体" w:hAnsi="宋体" w:cs="Arial" w:hint="eastAsia"/>
          <w:sz w:val="24"/>
          <w:highlight w:val="white"/>
          <w:lang w:eastAsia="zh-CN"/>
        </w:rPr>
        <w:t>)</w:t>
      </w:r>
      <w:r>
        <w:rPr>
          <w:rFonts w:ascii="宋体" w:hAnsi="宋体" w:cs="Arial" w:hint="eastAsia"/>
          <w:sz w:val="24"/>
          <w:highlight w:val="white"/>
          <w:lang w:eastAsia="zh-CN"/>
        </w:rPr>
        <w:t>、《公开募集证券投资基金运作管理办法》</w:t>
      </w:r>
      <w:r>
        <w:rPr>
          <w:rFonts w:ascii="宋体" w:hAnsi="宋体" w:cs="Arial" w:hint="eastAsia"/>
          <w:sz w:val="24"/>
          <w:highlight w:val="white"/>
          <w:lang w:eastAsia="zh-CN"/>
        </w:rPr>
        <w:t>(</w:t>
      </w:r>
      <w:r>
        <w:rPr>
          <w:rFonts w:ascii="宋体" w:hAnsi="宋体" w:cs="Arial" w:hint="eastAsia"/>
          <w:sz w:val="24"/>
          <w:highlight w:val="white"/>
          <w:lang w:eastAsia="zh-CN"/>
        </w:rPr>
        <w:t>以下简称“《运作办法》”</w:t>
      </w:r>
      <w:r>
        <w:rPr>
          <w:rFonts w:ascii="宋体" w:hAnsi="宋体" w:cs="Arial" w:hint="eastAsia"/>
          <w:sz w:val="24"/>
          <w:highlight w:val="white"/>
          <w:lang w:eastAsia="zh-CN"/>
        </w:rPr>
        <w:t>)</w:t>
      </w:r>
      <w:r>
        <w:rPr>
          <w:rFonts w:ascii="宋体" w:hAnsi="宋体" w:cs="Arial" w:hint="eastAsia"/>
          <w:sz w:val="24"/>
          <w:highlight w:val="white"/>
          <w:lang w:eastAsia="zh-CN"/>
        </w:rPr>
        <w:t>、《公开募集开放式证券投资基金流动性风险管理规定》、《公开募集证券投资基金信息披露管理办法》（以下简称“《信息披露办法》”）等有关法律法规、基金合同及其他有关规定制订。</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（二）订立托管协议的目的</w:t>
      </w:r>
    </w:p>
    <w:p w:rsidR="00CB176C">
      <w:pPr>
        <w:snapToGrid w:val="0"/>
        <w:spacing w:after="156" w:afterLines="50" w:line="288" w:lineRule="auto"/>
        <w:ind w:firstLine="480" w:firstLineChars="200"/>
        <w:rPr>
          <w:rFonts w:ascii="宋体" w:hAnsi="宋体"/>
          <w:sz w:val="24"/>
          <w:szCs w:val="30"/>
          <w:lang w:eastAsia="zh-CN"/>
        </w:rPr>
      </w:pPr>
      <w:r>
        <w:rPr>
          <w:rFonts w:ascii="宋体" w:hAnsi="宋体" w:cs="Arial" w:hint="eastAsia"/>
          <w:sz w:val="24"/>
          <w:highlight w:val="white"/>
          <w:lang w:eastAsia="zh-CN"/>
        </w:rPr>
        <w:t>订立本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（三）订立托管协议的原则</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基金管理人和基金托管人本着平等自愿、诚实信用、充分保护基金份额持有人合法权益的原则，经协商</w:t>
      </w:r>
      <w:r>
        <w:rPr>
          <w:rFonts w:ascii="宋体" w:hAnsi="宋体" w:cs="Arial" w:hint="eastAsia"/>
          <w:sz w:val="24"/>
          <w:highlight w:val="white"/>
          <w:lang w:eastAsia="zh-CN"/>
        </w:rPr>
        <w:t>一致，签订本托管协议。</w:t>
      </w:r>
    </w:p>
    <w:p w:rsidR="00CB176C">
      <w:pPr>
        <w:pStyle w:val="Heading2"/>
        <w:spacing w:before="0" w:after="156" w:afterLines="50" w:line="288" w:lineRule="auto"/>
        <w:jc w:val="center"/>
        <w:rPr>
          <w:rFonts w:ascii="宋体" w:eastAsia="宋体" w:hAnsi="宋体"/>
          <w:sz w:val="30"/>
          <w:szCs w:val="24"/>
          <w:lang w:eastAsia="zh-CN"/>
        </w:rPr>
      </w:pPr>
      <w:bookmarkStart w:id="17" w:name="_Toc124325887"/>
      <w:bookmarkStart w:id="18" w:name="_Toc205489764"/>
      <w:r>
        <w:rPr>
          <w:rFonts w:ascii="宋体" w:eastAsia="宋体" w:hAnsi="宋体" w:hint="eastAsia"/>
          <w:sz w:val="30"/>
          <w:highlight w:val="white"/>
          <w:lang w:eastAsia="zh-CN"/>
        </w:rPr>
        <w:t>三、基金托管人对基金管理人的业务监督和核查</w:t>
      </w:r>
      <w:bookmarkEnd w:id="17"/>
      <w:bookmarkEnd w:id="18"/>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一）基金托管人根据有关法律法规的规定及基金合同的约定，对基金投资范围、投资对象进行监督。基金合同明确约定基金投资风格或证券选择标准的，基金管理人应向基金托管人提供投资品种池，以便基金托管人运用相关技术系统，对基金实际投资是否符合基金合同的相关约定进行监督，对存在疑义的事项进行核查。</w:t>
      </w:r>
    </w:p>
    <w:p w:rsidR="00CB176C">
      <w:pPr>
        <w:snapToGrid w:val="0"/>
        <w:spacing w:after="156" w:afterLines="50" w:line="288" w:lineRule="auto"/>
        <w:ind w:firstLine="480" w:firstLineChars="200"/>
        <w:rPr>
          <w:rFonts w:ascii="宋体" w:hAnsi="宋体" w:cs="Arial"/>
          <w:sz w:val="24"/>
          <w:lang w:eastAsia="zh-CN"/>
        </w:rPr>
      </w:pPr>
      <w:bookmarkStart w:id="19" w:name="_Hlk79075615"/>
      <w:r>
        <w:rPr>
          <w:rFonts w:ascii="宋体" w:hAnsi="宋体" w:cs="Arial"/>
          <w:sz w:val="24"/>
          <w:lang w:eastAsia="zh-CN"/>
        </w:rPr>
        <w:t>本基金的投资范围包括国内依法发行上市的股票（包括创业板、科创板及其他依法发行上市的股票、存托凭证）、内地与香港股票市场交易互联互通机制允许买卖的香港证券市场股</w:t>
      </w:r>
      <w:r>
        <w:rPr>
          <w:rFonts w:ascii="宋体" w:hAnsi="宋体" w:cs="Arial"/>
          <w:sz w:val="24"/>
          <w:lang w:eastAsia="zh-CN"/>
        </w:rPr>
        <w:t>票（简称</w:t>
      </w:r>
      <w:r>
        <w:rPr>
          <w:rFonts w:ascii="宋体" w:hAnsi="宋体" w:cs="Arial"/>
          <w:sz w:val="24"/>
          <w:lang w:eastAsia="zh-CN"/>
        </w:rPr>
        <w:t>“</w:t>
      </w:r>
      <w:r>
        <w:rPr>
          <w:rFonts w:ascii="宋体" w:hAnsi="宋体" w:cs="Arial"/>
          <w:sz w:val="24"/>
          <w:lang w:eastAsia="zh-CN"/>
        </w:rPr>
        <w:t>港股通股票</w:t>
      </w:r>
      <w:r>
        <w:rPr>
          <w:rFonts w:ascii="宋体" w:hAnsi="宋体" w:cs="Arial"/>
          <w:sz w:val="24"/>
          <w:lang w:eastAsia="zh-CN"/>
        </w:rPr>
        <w:t>”</w:t>
      </w:r>
      <w:r>
        <w:rPr>
          <w:rFonts w:ascii="宋体" w:hAnsi="宋体" w:cs="Arial"/>
          <w:sz w:val="24"/>
          <w:lang w:eastAsia="zh-CN"/>
        </w:rPr>
        <w:t>）、国内依法发行上市的债券（包括国债、央行票据、地方政府债、金融债、企业债、公司债、次级债、中期票据、短期融资券、超短期融资券、政府支持机构债券、可转换债券、可交换债券等）、资产支持证券、债券回购、银行存款、同业存单、货币市场工具、股指期货、国债期货、股票期权及法律法规或中国证监会允许基金投资的其他金融工具。</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sz w:val="24"/>
          <w:lang w:eastAsia="zh-CN"/>
        </w:rPr>
        <w:t>如法律法规或监管机构以后允许基金投资其他品种，基金管理人在履行适当程序后，本基金可以将其纳入投资范围。</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sz w:val="24"/>
          <w:highlight w:val="white"/>
          <w:lang w:eastAsia="zh-CN"/>
        </w:rPr>
        <w:t>基金的投资组合比例为：</w:t>
      </w:r>
      <w:r>
        <w:rPr>
          <w:rFonts w:ascii="宋体" w:hAnsi="宋体" w:cs="Arial"/>
          <w:sz w:val="24"/>
          <w:lang w:eastAsia="zh-CN"/>
        </w:rPr>
        <w:t>本基金股票资产占基金资产的比例为</w:t>
      </w:r>
      <w:r>
        <w:rPr>
          <w:rFonts w:ascii="宋体" w:hAnsi="宋体" w:cs="Arial"/>
          <w:sz w:val="24"/>
          <w:lang w:eastAsia="zh-CN"/>
        </w:rPr>
        <w:t>60%-95%</w:t>
      </w:r>
      <w:r>
        <w:rPr>
          <w:rFonts w:ascii="宋体" w:hAnsi="宋体" w:cs="Arial"/>
          <w:sz w:val="24"/>
          <w:lang w:eastAsia="zh-CN"/>
        </w:rPr>
        <w:t>；非现</w:t>
      </w:r>
      <w:r>
        <w:rPr>
          <w:rFonts w:ascii="宋体" w:hAnsi="宋体" w:cs="Arial"/>
          <w:sz w:val="24"/>
          <w:lang w:eastAsia="zh-CN"/>
        </w:rPr>
        <w:t>金基金资产中不低于</w:t>
      </w:r>
      <w:r>
        <w:rPr>
          <w:rFonts w:ascii="宋体" w:hAnsi="宋体" w:cs="Arial"/>
          <w:sz w:val="24"/>
          <w:lang w:eastAsia="zh-CN"/>
        </w:rPr>
        <w:t>80%</w:t>
      </w:r>
      <w:r>
        <w:rPr>
          <w:rFonts w:ascii="宋体" w:hAnsi="宋体" w:cs="Arial"/>
          <w:sz w:val="24"/>
          <w:lang w:eastAsia="zh-CN"/>
        </w:rPr>
        <w:t>的资产将投资于港股通股票；投资于消费主题相关股票的资产不低于非现金基金资产的</w:t>
      </w:r>
      <w:r>
        <w:rPr>
          <w:rFonts w:ascii="宋体" w:hAnsi="宋体" w:cs="Arial"/>
          <w:sz w:val="24"/>
          <w:lang w:eastAsia="zh-CN"/>
        </w:rPr>
        <w:t>80%</w:t>
      </w:r>
      <w:r>
        <w:rPr>
          <w:rFonts w:ascii="宋体" w:hAnsi="宋体" w:cs="Arial"/>
          <w:sz w:val="24"/>
          <w:lang w:eastAsia="zh-CN"/>
        </w:rPr>
        <w:t>；保持不低于基金资产净值</w:t>
      </w:r>
      <w:r>
        <w:rPr>
          <w:rFonts w:ascii="宋体" w:hAnsi="宋体" w:cs="Arial"/>
          <w:sz w:val="24"/>
          <w:lang w:eastAsia="zh-CN"/>
        </w:rPr>
        <w:t>5%</w:t>
      </w:r>
      <w:r>
        <w:rPr>
          <w:rFonts w:ascii="宋体" w:hAnsi="宋体" w:cs="Arial"/>
          <w:sz w:val="24"/>
          <w:lang w:eastAsia="zh-CN"/>
        </w:rPr>
        <w:t>的现金或者到期日在一年以内的政府债券，其中现金不包括结算备付金、存出保证金和应收申购款等。股指期货、国债期货、股票期权及其他金融工具的投资比例依照法律法规或监管机构的规定执行。</w:t>
      </w:r>
      <w:bookmarkEnd w:id="19"/>
    </w:p>
    <w:p w:rsidR="00CB176C">
      <w:pPr>
        <w:snapToGrid w:val="0"/>
        <w:spacing w:after="156" w:afterLines="50" w:line="288" w:lineRule="auto"/>
        <w:ind w:firstLine="480" w:firstLineChars="200"/>
        <w:rPr>
          <w:rFonts w:ascii="宋体" w:hAnsi="宋体" w:cs="Arial"/>
          <w:bCs/>
          <w:sz w:val="24"/>
          <w:lang w:eastAsia="zh-CN"/>
        </w:rPr>
      </w:pPr>
      <w:r>
        <w:rPr>
          <w:rFonts w:ascii="宋体" w:hAnsi="宋体" w:cs="Arial" w:hint="eastAsia"/>
          <w:bCs/>
          <w:sz w:val="24"/>
          <w:highlight w:val="white"/>
          <w:lang w:eastAsia="zh-CN"/>
        </w:rPr>
        <w:t>（二）基金托管人根据有关法律法规的规定及基金合同的约定，对基金投融资比例进行监督。</w:t>
      </w:r>
    </w:p>
    <w:p w:rsidR="00CB176C">
      <w:pPr>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1.</w:t>
      </w:r>
      <w:r>
        <w:rPr>
          <w:rFonts w:ascii="宋体" w:hAnsi="宋体" w:cs="Arial" w:hint="eastAsia"/>
          <w:sz w:val="24"/>
          <w:highlight w:val="white"/>
          <w:lang w:eastAsia="zh-CN"/>
        </w:rPr>
        <w:t>本基金股票资产占基金资产的比例为</w:t>
      </w:r>
      <w:r>
        <w:rPr>
          <w:rFonts w:ascii="宋体" w:hAnsi="宋体" w:cs="Arial" w:hint="eastAsia"/>
          <w:sz w:val="24"/>
          <w:highlight w:val="white"/>
          <w:lang w:eastAsia="zh-CN"/>
        </w:rPr>
        <w:t>60%-95%</w:t>
      </w:r>
      <w:r>
        <w:rPr>
          <w:rFonts w:ascii="宋体" w:hAnsi="宋体" w:cs="Arial" w:hint="eastAsia"/>
          <w:sz w:val="24"/>
          <w:highlight w:val="white"/>
          <w:lang w:eastAsia="zh-CN"/>
        </w:rPr>
        <w:t>；非现金基金资产中不低于</w:t>
      </w:r>
      <w:r>
        <w:rPr>
          <w:rFonts w:ascii="宋体" w:hAnsi="宋体" w:cs="Arial" w:hint="eastAsia"/>
          <w:sz w:val="24"/>
          <w:highlight w:val="white"/>
          <w:lang w:eastAsia="zh-CN"/>
        </w:rPr>
        <w:t>80%</w:t>
      </w:r>
      <w:r>
        <w:rPr>
          <w:rFonts w:ascii="宋体" w:hAnsi="宋体" w:cs="Arial" w:hint="eastAsia"/>
          <w:sz w:val="24"/>
          <w:highlight w:val="white"/>
          <w:lang w:eastAsia="zh-CN"/>
        </w:rPr>
        <w:t>的资产将投资于港股通股票；投资于消费主题相关股票的资产不低于非现金基金资产的</w:t>
      </w:r>
      <w:r>
        <w:rPr>
          <w:rFonts w:ascii="宋体" w:hAnsi="宋体" w:cs="Arial" w:hint="eastAsia"/>
          <w:sz w:val="24"/>
          <w:highlight w:val="white"/>
          <w:lang w:eastAsia="zh-CN"/>
        </w:rPr>
        <w:t>80%</w:t>
      </w:r>
      <w:r>
        <w:rPr>
          <w:rFonts w:ascii="宋体" w:hAnsi="宋体" w:cs="Arial" w:hint="eastAsia"/>
          <w:sz w:val="24"/>
          <w:highlight w:val="white"/>
          <w:lang w:eastAsia="zh-CN"/>
        </w:rPr>
        <w:t>；</w:t>
      </w:r>
    </w:p>
    <w:p w:rsidR="00CB176C">
      <w:pPr>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2.</w:t>
      </w:r>
      <w:r>
        <w:rPr>
          <w:rFonts w:ascii="宋体" w:hAnsi="宋体" w:cs="Arial" w:hint="eastAsia"/>
          <w:sz w:val="24"/>
          <w:highlight w:val="white"/>
          <w:lang w:eastAsia="zh-CN"/>
        </w:rPr>
        <w:t>保持不低于基金资产净值</w:t>
      </w:r>
      <w:r>
        <w:rPr>
          <w:rFonts w:ascii="宋体" w:hAnsi="宋体" w:cs="Arial" w:hint="eastAsia"/>
          <w:sz w:val="24"/>
          <w:highlight w:val="white"/>
          <w:lang w:eastAsia="zh-CN"/>
        </w:rPr>
        <w:t>5</w:t>
      </w:r>
      <w:r>
        <w:rPr>
          <w:rFonts w:ascii="宋体" w:hAnsi="宋体" w:cs="Arial" w:hint="eastAsia"/>
          <w:sz w:val="24"/>
          <w:highlight w:val="white"/>
          <w:lang w:eastAsia="zh-CN"/>
        </w:rPr>
        <w:t>％的现金或者到期日在一年以内的政府债券，其中现金不包括结算备付金、存出保证金和应收申购款等；</w:t>
      </w:r>
    </w:p>
    <w:p w:rsidR="00CB176C">
      <w:pPr>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3.</w:t>
      </w:r>
      <w:r>
        <w:rPr>
          <w:rFonts w:ascii="宋体" w:hAnsi="宋体" w:cs="Arial" w:hint="eastAsia"/>
          <w:sz w:val="24"/>
          <w:highlight w:val="white"/>
          <w:lang w:eastAsia="zh-CN"/>
        </w:rPr>
        <w:t>本基金持有一家公司发行的证券（同一家公司在内地和香港同时上市的</w:t>
      </w:r>
      <w:r>
        <w:rPr>
          <w:rFonts w:ascii="宋体" w:hAnsi="宋体" w:cs="Arial" w:hint="eastAsia"/>
          <w:sz w:val="24"/>
          <w:highlight w:val="white"/>
          <w:lang w:eastAsia="zh-CN"/>
        </w:rPr>
        <w:t>A+H</w:t>
      </w:r>
      <w:r>
        <w:rPr>
          <w:rFonts w:ascii="宋体" w:hAnsi="宋体" w:cs="Arial" w:hint="eastAsia"/>
          <w:sz w:val="24"/>
          <w:highlight w:val="white"/>
          <w:lang w:eastAsia="zh-CN"/>
        </w:rPr>
        <w:t>股合计计算），其市值不超过基金资产净值的</w:t>
      </w:r>
      <w:r>
        <w:rPr>
          <w:rFonts w:ascii="宋体" w:hAnsi="宋体" w:cs="Arial" w:hint="eastAsia"/>
          <w:sz w:val="24"/>
          <w:highlight w:val="white"/>
          <w:lang w:eastAsia="zh-CN"/>
        </w:rPr>
        <w:t>10</w:t>
      </w:r>
      <w:r>
        <w:rPr>
          <w:rFonts w:ascii="宋体" w:hAnsi="宋体" w:cs="Arial" w:hint="eastAsia"/>
          <w:sz w:val="24"/>
          <w:highlight w:val="white"/>
          <w:lang w:eastAsia="zh-CN"/>
        </w:rPr>
        <w:t>％；</w:t>
      </w:r>
    </w:p>
    <w:p w:rsidR="00CB176C">
      <w:pPr>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4.</w:t>
      </w:r>
      <w:r>
        <w:rPr>
          <w:rFonts w:ascii="宋体" w:hAnsi="宋体" w:cs="Arial" w:hint="eastAsia"/>
          <w:sz w:val="24"/>
          <w:highlight w:val="white"/>
          <w:lang w:eastAsia="zh-CN"/>
        </w:rPr>
        <w:t>本基金管理人管理</w:t>
      </w:r>
      <w:r>
        <w:rPr>
          <w:rFonts w:ascii="宋体" w:hAnsi="宋体" w:cs="宋体"/>
          <w:color w:val="000000"/>
          <w:sz w:val="24"/>
          <w:highlight w:val="white"/>
          <w:lang w:eastAsia="zh-CN"/>
        </w:rPr>
        <w:t>且由基金托管人托管</w:t>
      </w:r>
      <w:r>
        <w:rPr>
          <w:rFonts w:ascii="宋体" w:hAnsi="宋体" w:cs="Arial" w:hint="eastAsia"/>
          <w:sz w:val="24"/>
          <w:highlight w:val="white"/>
          <w:lang w:eastAsia="zh-CN"/>
        </w:rPr>
        <w:t>的全部基金持有一家公司发行的证券（同一家公司在内地和香港同时上市的</w:t>
      </w:r>
      <w:r>
        <w:rPr>
          <w:rFonts w:ascii="宋体" w:hAnsi="宋体" w:cs="Arial" w:hint="eastAsia"/>
          <w:sz w:val="24"/>
          <w:highlight w:val="white"/>
          <w:lang w:eastAsia="zh-CN"/>
        </w:rPr>
        <w:t>A+H</w:t>
      </w:r>
      <w:r>
        <w:rPr>
          <w:rFonts w:ascii="宋体" w:hAnsi="宋体" w:cs="Arial" w:hint="eastAsia"/>
          <w:sz w:val="24"/>
          <w:highlight w:val="white"/>
          <w:lang w:eastAsia="zh-CN"/>
        </w:rPr>
        <w:t>股合计计算），不超过该证券的</w:t>
      </w:r>
      <w:r>
        <w:rPr>
          <w:rFonts w:ascii="宋体" w:hAnsi="宋体" w:cs="Arial" w:hint="eastAsia"/>
          <w:sz w:val="24"/>
          <w:highlight w:val="white"/>
          <w:lang w:eastAsia="zh-CN"/>
        </w:rPr>
        <w:t>10</w:t>
      </w:r>
      <w:r>
        <w:rPr>
          <w:rFonts w:ascii="宋体" w:hAnsi="宋体" w:cs="Arial" w:hint="eastAsia"/>
          <w:sz w:val="24"/>
          <w:highlight w:val="white"/>
          <w:lang w:eastAsia="zh-CN"/>
        </w:rPr>
        <w:t>％，完全按照有关指数的构成比例进行证券投</w:t>
      </w:r>
      <w:r>
        <w:rPr>
          <w:rFonts w:ascii="宋体" w:hAnsi="宋体" w:cs="Arial" w:hint="eastAsia"/>
          <w:sz w:val="24"/>
          <w:highlight w:val="white"/>
          <w:lang w:eastAsia="zh-CN"/>
        </w:rPr>
        <w:t>资的基金品种可以不受此条款规定的比例限制；</w:t>
      </w:r>
    </w:p>
    <w:p w:rsidR="00CB176C">
      <w:pPr>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5.</w:t>
      </w:r>
      <w:r>
        <w:rPr>
          <w:rFonts w:ascii="宋体" w:hAnsi="宋体" w:cs="Arial" w:hint="eastAsia"/>
          <w:sz w:val="24"/>
          <w:highlight w:val="white"/>
          <w:lang w:eastAsia="zh-CN"/>
        </w:rPr>
        <w:t>本基金投资于同一原始权益人的各类资产支持证券的比例，不得超过基金资产净值的</w:t>
      </w:r>
      <w:r>
        <w:rPr>
          <w:rFonts w:ascii="宋体" w:hAnsi="宋体" w:cs="Arial" w:hint="eastAsia"/>
          <w:sz w:val="24"/>
          <w:highlight w:val="white"/>
          <w:lang w:eastAsia="zh-CN"/>
        </w:rPr>
        <w:t>10</w:t>
      </w:r>
      <w:r>
        <w:rPr>
          <w:rFonts w:ascii="宋体" w:hAnsi="宋体" w:cs="Arial" w:hint="eastAsia"/>
          <w:sz w:val="24"/>
          <w:highlight w:val="white"/>
          <w:lang w:eastAsia="zh-CN"/>
        </w:rPr>
        <w:t>％；</w:t>
      </w:r>
    </w:p>
    <w:p w:rsidR="00CB176C">
      <w:pPr>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6.</w:t>
      </w:r>
      <w:r>
        <w:rPr>
          <w:rFonts w:ascii="宋体" w:hAnsi="宋体" w:cs="Arial" w:hint="eastAsia"/>
          <w:sz w:val="24"/>
          <w:highlight w:val="white"/>
          <w:lang w:eastAsia="zh-CN"/>
        </w:rPr>
        <w:t>本基金持有的全部资产支持证券，其市值不得超过基金资产净值的</w:t>
      </w:r>
      <w:r>
        <w:rPr>
          <w:rFonts w:ascii="宋体" w:hAnsi="宋体" w:cs="Arial" w:hint="eastAsia"/>
          <w:sz w:val="24"/>
          <w:highlight w:val="white"/>
          <w:lang w:eastAsia="zh-CN"/>
        </w:rPr>
        <w:t>20</w:t>
      </w:r>
      <w:r>
        <w:rPr>
          <w:rFonts w:ascii="宋体" w:hAnsi="宋体" w:cs="Arial" w:hint="eastAsia"/>
          <w:sz w:val="24"/>
          <w:highlight w:val="white"/>
          <w:lang w:eastAsia="zh-CN"/>
        </w:rPr>
        <w:t>％；</w:t>
      </w:r>
    </w:p>
    <w:p w:rsidR="00CB176C">
      <w:pPr>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7.</w:t>
      </w:r>
      <w:r>
        <w:rPr>
          <w:rFonts w:ascii="宋体" w:hAnsi="宋体" w:cs="Arial" w:hint="eastAsia"/>
          <w:sz w:val="24"/>
          <w:highlight w:val="white"/>
          <w:lang w:eastAsia="zh-CN"/>
        </w:rPr>
        <w:t>本基金持有的同一</w:t>
      </w:r>
      <w:r>
        <w:rPr>
          <w:rFonts w:ascii="宋体" w:hAnsi="宋体" w:cs="Arial" w:hint="eastAsia"/>
          <w:sz w:val="24"/>
          <w:highlight w:val="white"/>
          <w:lang w:eastAsia="zh-CN"/>
        </w:rPr>
        <w:t>(</w:t>
      </w:r>
      <w:r>
        <w:rPr>
          <w:rFonts w:ascii="宋体" w:hAnsi="宋体" w:cs="Arial" w:hint="eastAsia"/>
          <w:sz w:val="24"/>
          <w:highlight w:val="white"/>
          <w:lang w:eastAsia="zh-CN"/>
        </w:rPr>
        <w:t>指同一信用级别</w:t>
      </w:r>
      <w:r>
        <w:rPr>
          <w:rFonts w:ascii="宋体" w:hAnsi="宋体" w:cs="Arial" w:hint="eastAsia"/>
          <w:sz w:val="24"/>
          <w:highlight w:val="white"/>
          <w:lang w:eastAsia="zh-CN"/>
        </w:rPr>
        <w:t>)</w:t>
      </w:r>
      <w:r>
        <w:rPr>
          <w:rFonts w:ascii="宋体" w:hAnsi="宋体" w:cs="Arial" w:hint="eastAsia"/>
          <w:sz w:val="24"/>
          <w:highlight w:val="white"/>
          <w:lang w:eastAsia="zh-CN"/>
        </w:rPr>
        <w:t>资产支持证券的比例，不得超过该资产支持证券规模的</w:t>
      </w:r>
      <w:r>
        <w:rPr>
          <w:rFonts w:ascii="宋体" w:hAnsi="宋体" w:cs="Arial" w:hint="eastAsia"/>
          <w:sz w:val="24"/>
          <w:highlight w:val="white"/>
          <w:lang w:eastAsia="zh-CN"/>
        </w:rPr>
        <w:t>10</w:t>
      </w:r>
      <w:r>
        <w:rPr>
          <w:rFonts w:ascii="宋体" w:hAnsi="宋体" w:cs="Arial" w:hint="eastAsia"/>
          <w:sz w:val="24"/>
          <w:highlight w:val="white"/>
          <w:lang w:eastAsia="zh-CN"/>
        </w:rPr>
        <w:t>％；</w:t>
      </w:r>
    </w:p>
    <w:p w:rsidR="00CB176C">
      <w:pPr>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8.</w:t>
      </w:r>
      <w:r>
        <w:rPr>
          <w:rFonts w:ascii="宋体" w:hAnsi="宋体" w:cs="Arial" w:hint="eastAsia"/>
          <w:sz w:val="24"/>
          <w:highlight w:val="white"/>
          <w:lang w:eastAsia="zh-CN"/>
        </w:rPr>
        <w:t>本基金管理人管理</w:t>
      </w:r>
      <w:r>
        <w:rPr>
          <w:rFonts w:ascii="宋体" w:hAnsi="宋体" w:cs="宋体"/>
          <w:color w:val="000000"/>
          <w:sz w:val="24"/>
          <w:highlight w:val="white"/>
          <w:lang w:eastAsia="zh-CN"/>
        </w:rPr>
        <w:t>且由基金托管人托管的</w:t>
      </w:r>
      <w:r>
        <w:rPr>
          <w:rFonts w:ascii="宋体" w:hAnsi="宋体" w:cs="Arial" w:hint="eastAsia"/>
          <w:sz w:val="24"/>
          <w:highlight w:val="white"/>
          <w:lang w:eastAsia="zh-CN"/>
        </w:rPr>
        <w:t>全部基金投资于同一原始权益人的各类资产支持证券，不得超过其各类资产支持证券合计规模的</w:t>
      </w:r>
      <w:r>
        <w:rPr>
          <w:rFonts w:ascii="宋体" w:hAnsi="宋体" w:cs="Arial" w:hint="eastAsia"/>
          <w:sz w:val="24"/>
          <w:highlight w:val="white"/>
          <w:lang w:eastAsia="zh-CN"/>
        </w:rPr>
        <w:t>10</w:t>
      </w:r>
      <w:r>
        <w:rPr>
          <w:rFonts w:ascii="宋体" w:hAnsi="宋体" w:cs="Arial" w:hint="eastAsia"/>
          <w:sz w:val="24"/>
          <w:highlight w:val="white"/>
          <w:lang w:eastAsia="zh-CN"/>
        </w:rPr>
        <w:t>％；</w:t>
      </w:r>
    </w:p>
    <w:p w:rsidR="00CB176C">
      <w:pPr>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9.</w:t>
      </w:r>
      <w:r>
        <w:rPr>
          <w:rFonts w:ascii="宋体" w:hAnsi="宋体" w:cs="Arial" w:hint="eastAsia"/>
          <w:sz w:val="24"/>
          <w:highlight w:val="white"/>
          <w:lang w:eastAsia="zh-CN"/>
        </w:rPr>
        <w:t>本基金应投资于信用级别评级为</w:t>
      </w:r>
      <w:r>
        <w:rPr>
          <w:rFonts w:ascii="宋体" w:hAnsi="宋体" w:cs="Arial" w:hint="eastAsia"/>
          <w:sz w:val="24"/>
          <w:highlight w:val="white"/>
          <w:lang w:eastAsia="zh-CN"/>
        </w:rPr>
        <w:t>BBB</w:t>
      </w:r>
      <w:r>
        <w:rPr>
          <w:rFonts w:ascii="宋体" w:hAnsi="宋体" w:cs="Arial" w:hint="eastAsia"/>
          <w:sz w:val="24"/>
          <w:highlight w:val="white"/>
          <w:lang w:eastAsia="zh-CN"/>
        </w:rPr>
        <w:t>以上</w:t>
      </w:r>
      <w:r>
        <w:rPr>
          <w:rFonts w:ascii="宋体" w:hAnsi="宋体" w:cs="Arial" w:hint="eastAsia"/>
          <w:sz w:val="24"/>
          <w:highlight w:val="white"/>
          <w:lang w:eastAsia="zh-CN"/>
        </w:rPr>
        <w:t>(</w:t>
      </w:r>
      <w:r>
        <w:rPr>
          <w:rFonts w:ascii="宋体" w:hAnsi="宋体" w:cs="Arial" w:hint="eastAsia"/>
          <w:sz w:val="24"/>
          <w:highlight w:val="white"/>
          <w:lang w:eastAsia="zh-CN"/>
        </w:rPr>
        <w:t>含</w:t>
      </w:r>
      <w:r>
        <w:rPr>
          <w:rFonts w:ascii="宋体" w:hAnsi="宋体" w:cs="Arial" w:hint="eastAsia"/>
          <w:sz w:val="24"/>
          <w:highlight w:val="white"/>
          <w:lang w:eastAsia="zh-CN"/>
        </w:rPr>
        <w:t>BBB)</w:t>
      </w:r>
      <w:r>
        <w:rPr>
          <w:rFonts w:ascii="宋体" w:hAnsi="宋体" w:cs="Arial" w:hint="eastAsia"/>
          <w:sz w:val="24"/>
          <w:highlight w:val="white"/>
          <w:lang w:eastAsia="zh-CN"/>
        </w:rPr>
        <w:t>的资产支持证券。基金持有</w:t>
      </w:r>
      <w:r>
        <w:rPr>
          <w:rFonts w:ascii="宋体" w:hAnsi="宋体" w:cs="Arial" w:hint="eastAsia"/>
          <w:sz w:val="24"/>
          <w:highlight w:val="white"/>
          <w:lang w:eastAsia="zh-CN"/>
        </w:rPr>
        <w:t>资产支持证券期间，如果其信用等级下降、不再符合投资标准，应在评级报告发布之日起</w:t>
      </w:r>
      <w:r>
        <w:rPr>
          <w:rFonts w:ascii="宋体" w:hAnsi="宋体" w:cs="Arial" w:hint="eastAsia"/>
          <w:sz w:val="24"/>
          <w:highlight w:val="white"/>
          <w:lang w:eastAsia="zh-CN"/>
        </w:rPr>
        <w:t>3</w:t>
      </w:r>
      <w:r>
        <w:rPr>
          <w:rFonts w:ascii="宋体" w:hAnsi="宋体" w:cs="Arial" w:hint="eastAsia"/>
          <w:sz w:val="24"/>
          <w:highlight w:val="white"/>
          <w:lang w:eastAsia="zh-CN"/>
        </w:rPr>
        <w:t>个月内予以全部卖出；</w:t>
      </w:r>
    </w:p>
    <w:p w:rsidR="00CB176C">
      <w:pPr>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10.</w:t>
      </w:r>
      <w:r>
        <w:rPr>
          <w:rFonts w:ascii="宋体" w:hAnsi="宋体" w:cs="Arial" w:hint="eastAsia"/>
          <w:sz w:val="24"/>
          <w:highlight w:val="white"/>
          <w:lang w:eastAsia="zh-CN"/>
        </w:rPr>
        <w:t>基金财产参与股票发行申购，本基金所申报的金额不超过本基金的总资产，本基金所申报的股票数量不超过拟发行股票公司本次发行股票的总量；</w:t>
      </w:r>
    </w:p>
    <w:p w:rsidR="00CB176C">
      <w:pPr>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11.</w:t>
      </w:r>
      <w:r>
        <w:rPr>
          <w:rFonts w:ascii="宋体" w:hAnsi="宋体" w:cs="Arial" w:hint="eastAsia"/>
          <w:sz w:val="24"/>
          <w:highlight w:val="white"/>
          <w:lang w:eastAsia="zh-CN"/>
        </w:rPr>
        <w:t>本基金管理人管理</w:t>
      </w:r>
      <w:r>
        <w:rPr>
          <w:rFonts w:ascii="宋体" w:hAnsi="宋体" w:cs="宋体"/>
          <w:color w:val="000000"/>
          <w:sz w:val="24"/>
          <w:highlight w:val="white"/>
          <w:lang w:eastAsia="zh-CN"/>
        </w:rPr>
        <w:t>且由基金托管人托管的</w:t>
      </w:r>
      <w:r>
        <w:rPr>
          <w:rFonts w:ascii="宋体" w:hAnsi="宋体" w:cs="Arial" w:hint="eastAsia"/>
          <w:sz w:val="24"/>
          <w:highlight w:val="white"/>
          <w:lang w:eastAsia="zh-CN"/>
        </w:rPr>
        <w:t>全部开放式基金持有一家上市公司发行的可流通股票，不得超过该上市公司可流通股票的</w:t>
      </w:r>
      <w:r>
        <w:rPr>
          <w:rFonts w:ascii="宋体" w:hAnsi="宋体" w:cs="Arial" w:hint="eastAsia"/>
          <w:sz w:val="24"/>
          <w:highlight w:val="white"/>
          <w:lang w:eastAsia="zh-CN"/>
        </w:rPr>
        <w:t>15%</w:t>
      </w:r>
      <w:r>
        <w:rPr>
          <w:rFonts w:ascii="宋体" w:hAnsi="宋体" w:cs="Arial" w:hint="eastAsia"/>
          <w:sz w:val="24"/>
          <w:highlight w:val="white"/>
          <w:lang w:eastAsia="zh-CN"/>
        </w:rPr>
        <w:t>；本基金管理人管理</w:t>
      </w:r>
      <w:r>
        <w:rPr>
          <w:rFonts w:ascii="宋体" w:hAnsi="宋体" w:cs="宋体"/>
          <w:color w:val="000000"/>
          <w:sz w:val="24"/>
          <w:highlight w:val="white"/>
          <w:lang w:eastAsia="zh-CN"/>
        </w:rPr>
        <w:t>且由基金托管人托管的</w:t>
      </w:r>
      <w:r>
        <w:rPr>
          <w:rFonts w:ascii="宋体" w:hAnsi="宋体" w:cs="Arial" w:hint="eastAsia"/>
          <w:sz w:val="24"/>
          <w:highlight w:val="white"/>
          <w:lang w:eastAsia="zh-CN"/>
        </w:rPr>
        <w:t>全部投资组合持有一家上市公司发行的可流通股票，不得超过该上市公司可流通股票的</w:t>
      </w:r>
      <w:r>
        <w:rPr>
          <w:rFonts w:ascii="宋体" w:hAnsi="宋体" w:cs="Arial" w:hint="eastAsia"/>
          <w:sz w:val="24"/>
          <w:highlight w:val="white"/>
          <w:lang w:eastAsia="zh-CN"/>
        </w:rPr>
        <w:t>30%</w:t>
      </w:r>
      <w:r>
        <w:rPr>
          <w:rFonts w:ascii="宋体" w:hAnsi="宋体" w:cs="Arial" w:hint="eastAsia"/>
          <w:sz w:val="24"/>
          <w:highlight w:val="white"/>
          <w:lang w:eastAsia="zh-CN"/>
        </w:rPr>
        <w:t>，完全按照有关指数的构成比例</w:t>
      </w:r>
      <w:r>
        <w:rPr>
          <w:rFonts w:ascii="宋体" w:hAnsi="宋体" w:cs="Arial" w:hint="eastAsia"/>
          <w:sz w:val="24"/>
          <w:highlight w:val="white"/>
          <w:lang w:eastAsia="zh-CN"/>
        </w:rPr>
        <w:t>进行证券投资的开放式基金以及中国证监会认定的特殊投资组合可不受前述比例限制；</w:t>
      </w:r>
    </w:p>
    <w:p w:rsidR="00CB176C">
      <w:pPr>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12.</w:t>
      </w:r>
      <w:r>
        <w:rPr>
          <w:rFonts w:ascii="宋体" w:hAnsi="宋体" w:cs="Arial" w:hint="eastAsia"/>
          <w:sz w:val="24"/>
          <w:highlight w:val="white"/>
          <w:lang w:eastAsia="zh-CN"/>
        </w:rPr>
        <w:t>本基金主动投资于流动性受限资产的市值合计不得超过基金资产净值的</w:t>
      </w:r>
      <w:r>
        <w:rPr>
          <w:rFonts w:ascii="宋体" w:hAnsi="宋体" w:cs="Arial" w:hint="eastAsia"/>
          <w:sz w:val="24"/>
          <w:highlight w:val="white"/>
          <w:lang w:eastAsia="zh-CN"/>
        </w:rPr>
        <w:t>15%</w:t>
      </w:r>
      <w:r>
        <w:rPr>
          <w:rFonts w:ascii="宋体" w:hAnsi="宋体" w:cs="Arial" w:hint="eastAsia"/>
          <w:sz w:val="24"/>
          <w:highlight w:val="white"/>
          <w:lang w:eastAsia="zh-CN"/>
        </w:rPr>
        <w:t>；因证券市场波动、上市公司股票停牌、基金规模变动等基金管理人之外的因素致使基金不符合该比例限制的，基金管理人不得主动新增流动性受限资产的投资；</w:t>
      </w:r>
    </w:p>
    <w:p w:rsidR="00CB176C">
      <w:pPr>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13.</w:t>
      </w:r>
      <w:r>
        <w:rPr>
          <w:rFonts w:ascii="宋体" w:hAnsi="宋体" w:cs="Arial" w:hint="eastAsia"/>
          <w:sz w:val="24"/>
          <w:highlight w:val="white"/>
          <w:lang w:eastAsia="zh-CN"/>
        </w:rPr>
        <w:t>本基金与私募类证券资管产品及中国证监会认定的其他主体为交易对手开展逆回购交易的，可接受质押品的资质要求应当与基金合同约定的投资范围保持一致；</w:t>
      </w:r>
    </w:p>
    <w:p w:rsidR="00CB176C">
      <w:pPr>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14.</w:t>
      </w:r>
      <w:r>
        <w:rPr>
          <w:rFonts w:ascii="宋体" w:hAnsi="宋体" w:cs="Arial" w:hint="eastAsia"/>
          <w:sz w:val="24"/>
          <w:highlight w:val="white"/>
          <w:lang w:eastAsia="zh-CN"/>
        </w:rPr>
        <w:t>本基金资产总值不超过基金资产净值的</w:t>
      </w:r>
      <w:r>
        <w:rPr>
          <w:rFonts w:ascii="宋体" w:hAnsi="宋体" w:cs="Arial" w:hint="eastAsia"/>
          <w:sz w:val="24"/>
          <w:highlight w:val="white"/>
          <w:lang w:eastAsia="zh-CN"/>
        </w:rPr>
        <w:t>140%</w:t>
      </w:r>
      <w:r>
        <w:rPr>
          <w:rFonts w:ascii="宋体" w:hAnsi="宋体" w:cs="Arial" w:hint="eastAsia"/>
          <w:sz w:val="24"/>
          <w:highlight w:val="white"/>
          <w:lang w:eastAsia="zh-CN"/>
        </w:rPr>
        <w:t>；</w:t>
      </w:r>
    </w:p>
    <w:p w:rsidR="00CB176C">
      <w:pPr>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15.</w:t>
      </w:r>
      <w:r>
        <w:rPr>
          <w:rFonts w:ascii="宋体" w:hAnsi="宋体" w:cs="Arial" w:hint="eastAsia"/>
          <w:sz w:val="24"/>
          <w:highlight w:val="white"/>
          <w:lang w:eastAsia="zh-CN"/>
        </w:rPr>
        <w:t>本基金参与股指期货交易，应当遵守下列要求：本基金在任何交易日日终，持有的买入股指期货合约价值不得超过基金资产净值的</w:t>
      </w:r>
      <w:r>
        <w:rPr>
          <w:rFonts w:ascii="宋体" w:hAnsi="宋体" w:cs="Arial" w:hint="eastAsia"/>
          <w:sz w:val="24"/>
          <w:highlight w:val="white"/>
          <w:lang w:eastAsia="zh-CN"/>
        </w:rPr>
        <w:t>10%</w:t>
      </w:r>
      <w:r>
        <w:rPr>
          <w:rFonts w:ascii="宋体" w:hAnsi="宋体" w:cs="Arial" w:hint="eastAsia"/>
          <w:sz w:val="24"/>
          <w:highlight w:val="white"/>
          <w:lang w:eastAsia="zh-CN"/>
        </w:rPr>
        <w:t>；在任何交易日日终，持有的买入国债期货和股指期货合约价值与有价证券市值之和，不得超过基金资产净值的</w:t>
      </w:r>
      <w:r>
        <w:rPr>
          <w:rFonts w:ascii="宋体" w:hAnsi="宋体" w:cs="Arial" w:hint="eastAsia"/>
          <w:sz w:val="24"/>
          <w:highlight w:val="white"/>
          <w:lang w:eastAsia="zh-CN"/>
        </w:rPr>
        <w:t>95%</w:t>
      </w:r>
      <w:r>
        <w:rPr>
          <w:rFonts w:ascii="宋体" w:hAnsi="宋体" w:cs="Arial" w:hint="eastAsia"/>
          <w:sz w:val="24"/>
          <w:highlight w:val="white"/>
          <w:lang w:eastAsia="zh-CN"/>
        </w:rPr>
        <w:t>，其中，有价证券指股票、债券（不含到期日在一年以内的政府债券）、资产支持证券、买入返售金融资产（不含质押式回购）等；在任何交易日终，持有的卖出股指期货合约价值不得超过基金持有的股票总市值的</w:t>
      </w:r>
      <w:r>
        <w:rPr>
          <w:rFonts w:ascii="宋体" w:hAnsi="宋体" w:cs="Arial" w:hint="eastAsia"/>
          <w:sz w:val="24"/>
          <w:highlight w:val="white"/>
          <w:lang w:eastAsia="zh-CN"/>
        </w:rPr>
        <w:t>20%</w:t>
      </w:r>
      <w:r>
        <w:rPr>
          <w:rFonts w:ascii="宋体" w:hAnsi="宋体" w:cs="Arial" w:hint="eastAsia"/>
          <w:sz w:val="24"/>
          <w:highlight w:val="white"/>
          <w:lang w:eastAsia="zh-CN"/>
        </w:rPr>
        <w:t>；本基金所持有的股票市值和买入、卖出股指期货合约价值，合计（轧差计算）应当符合基金合同关于股票</w:t>
      </w:r>
      <w:r>
        <w:rPr>
          <w:rFonts w:ascii="宋体" w:hAnsi="宋体" w:cs="Arial" w:hint="eastAsia"/>
          <w:sz w:val="24"/>
          <w:highlight w:val="white"/>
          <w:lang w:eastAsia="zh-CN"/>
        </w:rPr>
        <w:t>投资比例的有关约定；在任何交易日内交易</w:t>
      </w:r>
      <w:r>
        <w:rPr>
          <w:rFonts w:ascii="宋体" w:hAnsi="宋体" w:cs="Arial" w:hint="eastAsia"/>
          <w:sz w:val="24"/>
          <w:highlight w:val="white"/>
          <w:lang w:eastAsia="zh-CN"/>
        </w:rPr>
        <w:t>(</w:t>
      </w:r>
      <w:r>
        <w:rPr>
          <w:rFonts w:ascii="宋体" w:hAnsi="宋体" w:cs="Arial" w:hint="eastAsia"/>
          <w:sz w:val="24"/>
          <w:highlight w:val="white"/>
          <w:lang w:eastAsia="zh-CN"/>
        </w:rPr>
        <w:t>不包括平仓</w:t>
      </w:r>
      <w:r>
        <w:rPr>
          <w:rFonts w:ascii="宋体" w:hAnsi="宋体" w:cs="Arial" w:hint="eastAsia"/>
          <w:sz w:val="24"/>
          <w:highlight w:val="white"/>
          <w:lang w:eastAsia="zh-CN"/>
        </w:rPr>
        <w:t>)</w:t>
      </w:r>
      <w:r>
        <w:rPr>
          <w:rFonts w:ascii="宋体" w:hAnsi="宋体" w:cs="Arial" w:hint="eastAsia"/>
          <w:sz w:val="24"/>
          <w:highlight w:val="white"/>
          <w:lang w:eastAsia="zh-CN"/>
        </w:rPr>
        <w:t>的股指期货合约的成交金额不得超过上一交易日基金资产净值的</w:t>
      </w:r>
      <w:r>
        <w:rPr>
          <w:rFonts w:ascii="宋体" w:hAnsi="宋体" w:cs="Arial" w:hint="eastAsia"/>
          <w:sz w:val="24"/>
          <w:highlight w:val="white"/>
          <w:lang w:eastAsia="zh-CN"/>
        </w:rPr>
        <w:t>20%</w:t>
      </w:r>
      <w:r>
        <w:rPr>
          <w:rFonts w:ascii="宋体" w:hAnsi="宋体" w:cs="Arial" w:hint="eastAsia"/>
          <w:sz w:val="24"/>
          <w:highlight w:val="white"/>
          <w:lang w:eastAsia="zh-CN"/>
        </w:rPr>
        <w:t>；每个交易日日终，扣除股指期货、国债期货合约需缴纳的交易保证金后，保持不低于基金资产净值</w:t>
      </w:r>
      <w:r>
        <w:rPr>
          <w:rFonts w:ascii="宋体" w:hAnsi="宋体" w:cs="Arial" w:hint="eastAsia"/>
          <w:sz w:val="24"/>
          <w:highlight w:val="white"/>
          <w:lang w:eastAsia="zh-CN"/>
        </w:rPr>
        <w:t>5</w:t>
      </w:r>
      <w:r>
        <w:rPr>
          <w:rFonts w:ascii="宋体" w:hAnsi="宋体" w:cs="Arial" w:hint="eastAsia"/>
          <w:sz w:val="24"/>
          <w:highlight w:val="white"/>
          <w:lang w:eastAsia="zh-CN"/>
        </w:rPr>
        <w:t>％的现金或者到期日在一年以内的政府债券，其中现金不包括结算备付金、存出保证金和应收申购款等；</w:t>
      </w:r>
    </w:p>
    <w:p w:rsidR="00CB176C">
      <w:pPr>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16.</w:t>
      </w:r>
      <w:r>
        <w:rPr>
          <w:rFonts w:ascii="宋体" w:hAnsi="宋体" w:cs="Arial" w:hint="eastAsia"/>
          <w:sz w:val="24"/>
          <w:highlight w:val="white"/>
          <w:lang w:eastAsia="zh-CN"/>
        </w:rPr>
        <w:t>本基金参与国债期货交易，应当遵守下列要求：在任何交易日日终，本基金持有的买入国债期货合约价值，不得超过基金资产净值的</w:t>
      </w:r>
      <w:r>
        <w:rPr>
          <w:rFonts w:ascii="宋体" w:hAnsi="宋体" w:cs="Arial" w:hint="eastAsia"/>
          <w:sz w:val="24"/>
          <w:highlight w:val="white"/>
          <w:lang w:eastAsia="zh-CN"/>
        </w:rPr>
        <w:t>15%</w:t>
      </w:r>
      <w:r>
        <w:rPr>
          <w:rFonts w:ascii="宋体" w:hAnsi="宋体" w:cs="Arial" w:hint="eastAsia"/>
          <w:sz w:val="24"/>
          <w:highlight w:val="white"/>
          <w:lang w:eastAsia="zh-CN"/>
        </w:rPr>
        <w:t>；本基金在任何交易日日终，持有的卖出国债期货合约价值不得超过基金持有的债券总市值的</w:t>
      </w:r>
      <w:r>
        <w:rPr>
          <w:rFonts w:ascii="宋体" w:hAnsi="宋体" w:cs="Arial" w:hint="eastAsia"/>
          <w:sz w:val="24"/>
          <w:highlight w:val="white"/>
          <w:lang w:eastAsia="zh-CN"/>
        </w:rPr>
        <w:t>30</w:t>
      </w:r>
      <w:r>
        <w:rPr>
          <w:rFonts w:ascii="宋体" w:hAnsi="宋体" w:cs="Arial" w:hint="eastAsia"/>
          <w:sz w:val="24"/>
          <w:highlight w:val="white"/>
          <w:lang w:eastAsia="zh-CN"/>
        </w:rPr>
        <w:t>%</w:t>
      </w:r>
      <w:r>
        <w:rPr>
          <w:rFonts w:ascii="宋体" w:hAnsi="宋体" w:cs="Arial" w:hint="eastAsia"/>
          <w:sz w:val="24"/>
          <w:highlight w:val="white"/>
          <w:lang w:eastAsia="zh-CN"/>
        </w:rPr>
        <w:t>；本基金在任何交易日内交易（不包括平仓）的国债期货合约的成交金额不得超过上一交易日基金资产净值的</w:t>
      </w:r>
      <w:r>
        <w:rPr>
          <w:rFonts w:ascii="宋体" w:hAnsi="宋体" w:cs="Arial" w:hint="eastAsia"/>
          <w:sz w:val="24"/>
          <w:highlight w:val="white"/>
          <w:lang w:eastAsia="zh-CN"/>
        </w:rPr>
        <w:t>30%</w:t>
      </w:r>
      <w:r>
        <w:rPr>
          <w:rFonts w:ascii="宋体" w:hAnsi="宋体" w:cs="Arial" w:hint="eastAsia"/>
          <w:sz w:val="24"/>
          <w:highlight w:val="white"/>
          <w:lang w:eastAsia="zh-CN"/>
        </w:rPr>
        <w:t>；本基金所持有的债券（不含到期日在一年以内的政府债券）市值和买入、卖出国债期货合约价值，合计（轧差计算）应当符合基金合同关于债券投资比例的有关约定；</w:t>
      </w:r>
    </w:p>
    <w:p w:rsidR="00CB176C">
      <w:pPr>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17.</w:t>
      </w:r>
      <w:r>
        <w:rPr>
          <w:rFonts w:ascii="宋体" w:hAnsi="宋体" w:cs="Arial" w:hint="eastAsia"/>
          <w:sz w:val="24"/>
          <w:highlight w:val="white"/>
          <w:lang w:eastAsia="zh-CN"/>
        </w:rPr>
        <w:t>本基金参与股票期权交易的，应当符合下列要求：基金因未平仓的期权合约支付和收取的权利金总额不得超过基金资产净值的</w:t>
      </w:r>
      <w:r>
        <w:rPr>
          <w:rFonts w:ascii="宋体" w:hAnsi="宋体" w:cs="Arial" w:hint="eastAsia"/>
          <w:sz w:val="24"/>
          <w:highlight w:val="white"/>
          <w:lang w:eastAsia="zh-CN"/>
        </w:rPr>
        <w:t>10%</w:t>
      </w:r>
      <w:r>
        <w:rPr>
          <w:rFonts w:ascii="宋体" w:hAnsi="宋体" w:cs="Arial" w:hint="eastAsia"/>
          <w:sz w:val="24"/>
          <w:highlight w:val="white"/>
          <w:lang w:eastAsia="zh-CN"/>
        </w:rPr>
        <w:t>；开仓卖出认购期权的，应持有足额标的证券；开仓卖出认沽期权的，应持有合约行权所需的全额现金或交易所规则认可的可冲抵期权保证金的现金等价物</w:t>
      </w:r>
      <w:r>
        <w:rPr>
          <w:rFonts w:ascii="宋体" w:hAnsi="宋体" w:cs="Arial" w:hint="eastAsia"/>
          <w:sz w:val="24"/>
          <w:highlight w:val="white"/>
          <w:lang w:eastAsia="zh-CN"/>
        </w:rPr>
        <w:t>；未平仓的期权合约面值不得超过基金资产净值的</w:t>
      </w:r>
      <w:r>
        <w:rPr>
          <w:rFonts w:ascii="宋体" w:hAnsi="宋体" w:cs="Arial" w:hint="eastAsia"/>
          <w:sz w:val="24"/>
          <w:highlight w:val="white"/>
          <w:lang w:eastAsia="zh-CN"/>
        </w:rPr>
        <w:t>20%</w:t>
      </w:r>
      <w:r>
        <w:rPr>
          <w:rFonts w:ascii="宋体" w:hAnsi="宋体" w:cs="Arial" w:hint="eastAsia"/>
          <w:sz w:val="24"/>
          <w:highlight w:val="white"/>
          <w:lang w:eastAsia="zh-CN"/>
        </w:rPr>
        <w:t>。其中，合约面值按照行权价乘以合约乘数计算；</w:t>
      </w:r>
    </w:p>
    <w:p w:rsidR="00CB176C">
      <w:pPr>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18.</w:t>
      </w:r>
      <w:r>
        <w:rPr>
          <w:rFonts w:ascii="宋体" w:hAnsi="宋体" w:cs="Arial" w:hint="eastAsia"/>
          <w:sz w:val="24"/>
          <w:highlight w:val="white"/>
          <w:lang w:eastAsia="zh-CN"/>
        </w:rPr>
        <w:t>基金参与融资业务后，在任何交易日日终，持有的融资买入股票与其他有价证券市值之和，不得超过基金资产净值的</w:t>
      </w:r>
      <w:r>
        <w:rPr>
          <w:rFonts w:ascii="宋体" w:hAnsi="宋体" w:cs="Arial" w:hint="eastAsia"/>
          <w:sz w:val="24"/>
          <w:highlight w:val="white"/>
          <w:lang w:eastAsia="zh-CN"/>
        </w:rPr>
        <w:t>95%</w:t>
      </w:r>
      <w:r>
        <w:rPr>
          <w:rFonts w:ascii="宋体" w:hAnsi="宋体" w:cs="Arial" w:hint="eastAsia"/>
          <w:sz w:val="24"/>
          <w:highlight w:val="white"/>
          <w:lang w:eastAsia="zh-CN"/>
        </w:rPr>
        <w:t>；</w:t>
      </w:r>
    </w:p>
    <w:p w:rsidR="00CB176C">
      <w:pPr>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19.</w:t>
      </w:r>
      <w:r>
        <w:rPr>
          <w:rFonts w:ascii="宋体" w:hAnsi="宋体" w:cs="Arial" w:hint="eastAsia"/>
          <w:sz w:val="24"/>
          <w:highlight w:val="white"/>
          <w:lang w:eastAsia="zh-CN"/>
        </w:rPr>
        <w:t>本基金投资存托凭证的比例限制依照境内上市交易的股票执行，与境内上市交易的股票合并计算；</w:t>
      </w:r>
    </w:p>
    <w:p w:rsidR="00CB176C">
      <w:pPr>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20.</w:t>
      </w:r>
      <w:r>
        <w:rPr>
          <w:rFonts w:ascii="宋体" w:hAnsi="宋体" w:cs="Arial" w:hint="eastAsia"/>
          <w:sz w:val="24"/>
          <w:highlight w:val="white"/>
          <w:lang w:eastAsia="zh-CN"/>
        </w:rPr>
        <w:t>法律法规及中国证监会规定的和《基金合同》约定的其他投资限制。</w:t>
      </w:r>
    </w:p>
    <w:p w:rsidR="00CB176C">
      <w:pPr>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除上述</w:t>
      </w:r>
      <w:r>
        <w:rPr>
          <w:rFonts w:ascii="宋体" w:hAnsi="宋体" w:cs="Arial" w:hint="eastAsia"/>
          <w:sz w:val="24"/>
          <w:highlight w:val="white"/>
          <w:lang w:eastAsia="zh-CN"/>
        </w:rPr>
        <w:t>2</w:t>
      </w:r>
      <w:r>
        <w:rPr>
          <w:rFonts w:ascii="宋体" w:hAnsi="宋体" w:cs="Arial" w:hint="eastAsia"/>
          <w:sz w:val="24"/>
          <w:highlight w:val="white"/>
          <w:lang w:eastAsia="zh-CN"/>
        </w:rPr>
        <w:t>、</w:t>
      </w:r>
      <w:r>
        <w:rPr>
          <w:rFonts w:ascii="宋体" w:hAnsi="宋体" w:cs="Arial" w:hint="eastAsia"/>
          <w:sz w:val="24"/>
          <w:highlight w:val="white"/>
          <w:lang w:eastAsia="zh-CN"/>
        </w:rPr>
        <w:t>9</w:t>
      </w:r>
      <w:r>
        <w:rPr>
          <w:rFonts w:ascii="宋体" w:hAnsi="宋体" w:cs="Arial" w:hint="eastAsia"/>
          <w:sz w:val="24"/>
          <w:highlight w:val="white"/>
          <w:lang w:eastAsia="zh-CN"/>
        </w:rPr>
        <w:t>、</w:t>
      </w:r>
      <w:r>
        <w:rPr>
          <w:rFonts w:ascii="宋体" w:hAnsi="宋体" w:cs="Arial" w:hint="eastAsia"/>
          <w:sz w:val="24"/>
          <w:highlight w:val="white"/>
          <w:lang w:eastAsia="zh-CN"/>
        </w:rPr>
        <w:t>10</w:t>
      </w:r>
      <w:r>
        <w:rPr>
          <w:rFonts w:ascii="宋体" w:hAnsi="宋体" w:cs="Arial" w:hint="eastAsia"/>
          <w:sz w:val="24"/>
          <w:highlight w:val="white"/>
          <w:lang w:eastAsia="zh-CN"/>
        </w:rPr>
        <w:t>、</w:t>
      </w:r>
      <w:r>
        <w:rPr>
          <w:rFonts w:ascii="宋体" w:hAnsi="宋体" w:cs="Arial" w:hint="eastAsia"/>
          <w:sz w:val="24"/>
          <w:highlight w:val="white"/>
          <w:lang w:eastAsia="zh-CN"/>
        </w:rPr>
        <w:t>12</w:t>
      </w:r>
      <w:r>
        <w:rPr>
          <w:rFonts w:ascii="宋体" w:hAnsi="宋体" w:cs="Arial" w:hint="eastAsia"/>
          <w:sz w:val="24"/>
          <w:highlight w:val="white"/>
          <w:lang w:eastAsia="zh-CN"/>
        </w:rPr>
        <w:t>、</w:t>
      </w:r>
      <w:r>
        <w:rPr>
          <w:rFonts w:ascii="宋体" w:hAnsi="宋体" w:cs="Arial" w:hint="eastAsia"/>
          <w:sz w:val="24"/>
          <w:highlight w:val="white"/>
          <w:lang w:eastAsia="zh-CN"/>
        </w:rPr>
        <w:t>13</w:t>
      </w:r>
      <w:r>
        <w:rPr>
          <w:rFonts w:ascii="宋体" w:hAnsi="宋体" w:cs="Arial" w:hint="eastAsia"/>
          <w:sz w:val="24"/>
          <w:highlight w:val="white"/>
          <w:lang w:eastAsia="zh-CN"/>
        </w:rPr>
        <w:t>情形之外，因证券</w:t>
      </w:r>
      <w:r>
        <w:rPr>
          <w:rFonts w:ascii="宋体" w:hAnsi="宋体" w:cs="Arial" w:hint="eastAsia"/>
          <w:sz w:val="24"/>
          <w:highlight w:val="white"/>
          <w:lang w:eastAsia="zh-CN"/>
        </w:rPr>
        <w:t>/</w:t>
      </w:r>
      <w:r>
        <w:rPr>
          <w:rFonts w:ascii="宋体" w:hAnsi="宋体" w:cs="Arial" w:hint="eastAsia"/>
          <w:sz w:val="24"/>
          <w:highlight w:val="white"/>
          <w:lang w:eastAsia="zh-CN"/>
        </w:rPr>
        <w:t>期货市场波动、证券发行人合并、基金规模变动等基金管理人之外的因素致使基金投资比例不符合上</w:t>
      </w:r>
      <w:r>
        <w:rPr>
          <w:rFonts w:ascii="宋体" w:hAnsi="宋体" w:cs="Arial" w:hint="eastAsia"/>
          <w:sz w:val="24"/>
          <w:highlight w:val="white"/>
          <w:lang w:eastAsia="zh-CN"/>
        </w:rPr>
        <w:t>述规定投资比例的，基金管理人应当在</w:t>
      </w:r>
      <w:r>
        <w:rPr>
          <w:rFonts w:ascii="宋体" w:hAnsi="宋体" w:cs="Arial" w:hint="eastAsia"/>
          <w:sz w:val="24"/>
          <w:highlight w:val="white"/>
          <w:lang w:eastAsia="zh-CN"/>
        </w:rPr>
        <w:t>10</w:t>
      </w:r>
      <w:r>
        <w:rPr>
          <w:rFonts w:ascii="宋体" w:hAnsi="宋体" w:cs="Arial" w:hint="eastAsia"/>
          <w:sz w:val="24"/>
          <w:highlight w:val="white"/>
          <w:lang w:eastAsia="zh-CN"/>
        </w:rPr>
        <w:t>个交易日内进行调整，但中国证监会规定的特殊情形除外。法律法规或监管部门另有规定的，届时按最新规定执行。</w:t>
      </w:r>
    </w:p>
    <w:p w:rsidR="00CB176C">
      <w:pPr>
        <w:spacing w:after="156" w:afterLines="50" w:line="288" w:lineRule="auto"/>
        <w:ind w:firstLine="480" w:firstLineChars="200"/>
        <w:rPr>
          <w:lang w:eastAsia="zh-CN"/>
        </w:rPr>
      </w:pPr>
      <w:r>
        <w:rPr>
          <w:rFonts w:ascii="宋体" w:hAnsi="宋体" w:cs="Arial" w:hint="eastAsia"/>
          <w:sz w:val="24"/>
          <w:highlight w:val="white"/>
          <w:lang w:eastAsia="zh-CN"/>
        </w:rPr>
        <w:t>基金管理人应当自基金合同生效之日起</w:t>
      </w:r>
      <w:r>
        <w:rPr>
          <w:rFonts w:ascii="宋体" w:hAnsi="宋体" w:cs="Arial" w:hint="eastAsia"/>
          <w:sz w:val="24"/>
          <w:highlight w:val="white"/>
          <w:lang w:eastAsia="zh-CN"/>
        </w:rPr>
        <w:t>6</w:t>
      </w:r>
      <w:r>
        <w:rPr>
          <w:rFonts w:ascii="宋体" w:hAnsi="宋体" w:cs="Arial" w:hint="eastAsia"/>
          <w:sz w:val="24"/>
          <w:highlight w:val="white"/>
          <w:lang w:eastAsia="zh-CN"/>
        </w:rPr>
        <w:t>个月内使基金的投资组合比例符合基金合同的有关约定。在上述期间内，本基金的投资范围、投资策略应当符合基金合同的约定。基金托管人对基金的投资的监督与检查自基金合同生效之日起开始。</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（三）基金托管人</w:t>
      </w:r>
      <w:bookmarkStart w:id="20" w:name="OLE_LINK1"/>
      <w:r>
        <w:rPr>
          <w:rFonts w:ascii="宋体" w:hAnsi="宋体" w:cs="Arial" w:hint="eastAsia"/>
          <w:sz w:val="24"/>
          <w:highlight w:val="white"/>
          <w:lang w:eastAsia="zh-CN"/>
        </w:rPr>
        <w:t>根据有关法律法规的规定及基金合同的约定，</w:t>
      </w:r>
      <w:bookmarkEnd w:id="20"/>
      <w:r>
        <w:rPr>
          <w:rFonts w:ascii="宋体" w:hAnsi="宋体" w:cs="Arial" w:hint="eastAsia"/>
          <w:sz w:val="24"/>
          <w:highlight w:val="white"/>
          <w:lang w:eastAsia="zh-CN"/>
        </w:rPr>
        <w:t>对基金投资禁止行为以及基金关联投资限制进行监督。</w:t>
      </w:r>
    </w:p>
    <w:p w:rsidR="00CB176C">
      <w:pPr>
        <w:spacing w:line="360" w:lineRule="auto"/>
        <w:ind w:firstLine="480" w:firstLineChars="200"/>
        <w:rPr>
          <w:bCs/>
          <w:sz w:val="24"/>
          <w:lang w:eastAsia="zh-CN"/>
        </w:rPr>
      </w:pPr>
      <w:r>
        <w:rPr>
          <w:bCs/>
          <w:sz w:val="24"/>
          <w:highlight w:val="white"/>
          <w:lang w:eastAsia="zh-CN"/>
        </w:rPr>
        <w:t>为维护基金份额持有人的合法权益，基金财产不得用于下列</w:t>
      </w:r>
      <w:r>
        <w:rPr>
          <w:bCs/>
          <w:sz w:val="24"/>
          <w:highlight w:val="white"/>
          <w:lang w:eastAsia="zh-CN"/>
        </w:rPr>
        <w:t>投资或者活动：</w:t>
      </w:r>
    </w:p>
    <w:p w:rsidR="00CB176C">
      <w:pPr>
        <w:spacing w:line="360" w:lineRule="auto"/>
        <w:ind w:firstLine="480" w:firstLineChars="200"/>
        <w:rPr>
          <w:bCs/>
          <w:sz w:val="24"/>
          <w:lang w:eastAsia="zh-CN"/>
        </w:rPr>
      </w:pPr>
      <w:r>
        <w:rPr>
          <w:rFonts w:ascii="宋体" w:hAnsi="宋体" w:cs="宋体"/>
          <w:bCs/>
          <w:sz w:val="24"/>
          <w:highlight w:val="white"/>
          <w:lang w:eastAsia="zh-CN"/>
        </w:rPr>
        <w:t>1.</w:t>
      </w:r>
      <w:r>
        <w:rPr>
          <w:bCs/>
          <w:sz w:val="24"/>
          <w:highlight w:val="white"/>
          <w:lang w:eastAsia="zh-CN"/>
        </w:rPr>
        <w:t>承销证券；</w:t>
      </w:r>
    </w:p>
    <w:p w:rsidR="00CB176C">
      <w:pPr>
        <w:spacing w:line="360" w:lineRule="auto"/>
        <w:ind w:firstLine="480" w:firstLineChars="200"/>
        <w:rPr>
          <w:bCs/>
          <w:sz w:val="24"/>
          <w:lang w:eastAsia="zh-CN"/>
        </w:rPr>
      </w:pPr>
      <w:r>
        <w:rPr>
          <w:rFonts w:ascii="宋体" w:hAnsi="宋体" w:cs="宋体"/>
          <w:bCs/>
          <w:sz w:val="24"/>
          <w:highlight w:val="white"/>
          <w:lang w:eastAsia="zh-CN"/>
        </w:rPr>
        <w:t>2.</w:t>
      </w:r>
      <w:r>
        <w:rPr>
          <w:bCs/>
          <w:sz w:val="24"/>
          <w:highlight w:val="white"/>
          <w:lang w:eastAsia="zh-CN"/>
        </w:rPr>
        <w:t>违反规定向他人贷款或者提供担保；</w:t>
      </w:r>
    </w:p>
    <w:p w:rsidR="00CB176C">
      <w:pPr>
        <w:spacing w:line="360" w:lineRule="auto"/>
        <w:ind w:firstLine="480" w:firstLineChars="200"/>
        <w:rPr>
          <w:bCs/>
          <w:sz w:val="24"/>
          <w:lang w:eastAsia="zh-CN"/>
        </w:rPr>
      </w:pPr>
      <w:r>
        <w:rPr>
          <w:rFonts w:ascii="宋体" w:hAnsi="宋体" w:cs="宋体"/>
          <w:bCs/>
          <w:sz w:val="24"/>
          <w:highlight w:val="white"/>
          <w:lang w:eastAsia="zh-CN"/>
        </w:rPr>
        <w:t>3.</w:t>
      </w:r>
      <w:r>
        <w:rPr>
          <w:bCs/>
          <w:sz w:val="24"/>
          <w:highlight w:val="white"/>
          <w:lang w:eastAsia="zh-CN"/>
        </w:rPr>
        <w:t>从事承担无限责任的投资；</w:t>
      </w:r>
    </w:p>
    <w:p w:rsidR="00CB176C">
      <w:pPr>
        <w:spacing w:line="360" w:lineRule="auto"/>
        <w:ind w:firstLine="480" w:firstLineChars="200"/>
        <w:rPr>
          <w:bCs/>
          <w:sz w:val="24"/>
          <w:lang w:eastAsia="zh-CN"/>
        </w:rPr>
      </w:pPr>
      <w:r>
        <w:rPr>
          <w:rFonts w:ascii="宋体" w:hAnsi="宋体" w:cs="宋体"/>
          <w:bCs/>
          <w:sz w:val="24"/>
          <w:highlight w:val="white"/>
          <w:lang w:eastAsia="zh-CN"/>
        </w:rPr>
        <w:t>4.</w:t>
      </w:r>
      <w:r>
        <w:rPr>
          <w:bCs/>
          <w:sz w:val="24"/>
          <w:highlight w:val="white"/>
          <w:lang w:eastAsia="zh-CN"/>
        </w:rPr>
        <w:t>向其基金管理人、基金托管人出资。</w:t>
      </w:r>
    </w:p>
    <w:p w:rsidR="00CB176C">
      <w:pPr>
        <w:snapToGrid w:val="0"/>
        <w:spacing w:after="156" w:afterLines="50" w:line="288" w:lineRule="auto"/>
        <w:ind w:firstLine="480" w:firstLineChars="200"/>
        <w:rPr>
          <w:rFonts w:ascii="宋体" w:hAnsi="宋体"/>
          <w:bCs/>
          <w:sz w:val="24"/>
          <w:lang w:eastAsia="zh-CN"/>
        </w:rPr>
      </w:pPr>
      <w:r>
        <w:rPr>
          <w:rFonts w:ascii="宋体" w:hAnsi="宋体"/>
          <w:bCs/>
          <w:sz w:val="24"/>
          <w:highlight w:val="white"/>
          <w:lang w:eastAsia="zh-CN"/>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CB176C">
      <w:pPr>
        <w:snapToGrid w:val="0"/>
        <w:spacing w:after="156" w:afterLines="50" w:line="288" w:lineRule="auto"/>
        <w:ind w:firstLine="480" w:firstLineChars="200"/>
        <w:rPr>
          <w:rFonts w:ascii="宋体" w:hAnsi="宋体"/>
          <w:bCs/>
          <w:sz w:val="24"/>
          <w:lang w:eastAsia="zh-CN"/>
        </w:rPr>
      </w:pPr>
      <w:r>
        <w:rPr>
          <w:rFonts w:ascii="宋体" w:hAnsi="宋体" w:hint="eastAsia"/>
          <w:bCs/>
          <w:sz w:val="24"/>
          <w:highlight w:val="white"/>
          <w:lang w:eastAsia="zh-CN"/>
        </w:rPr>
        <w:t>如法律法规或《基金合同》</w:t>
      </w:r>
      <w:r>
        <w:rPr>
          <w:rFonts w:ascii="宋体" w:hAnsi="宋体" w:hint="eastAsia"/>
          <w:bCs/>
          <w:sz w:val="24"/>
          <w:highlight w:val="white"/>
          <w:lang w:eastAsia="zh-CN"/>
        </w:rPr>
        <w:t>有关于基金从事关联交易的规定，基金管理人和基金托管人应相互提供与本机构有控股关系的股东或与本机构有其他重大利害关系的公司名单及其更新，确保关联交易名单真实、完整、全面。如果基金托管人在运作中严格遵循了监督流程，基金管理人仍违规进行关联交易，并造成基金资产损失的，相关责任不由基金托管人承担。</w:t>
      </w:r>
    </w:p>
    <w:p w:rsidR="00CB176C">
      <w:pPr>
        <w:snapToGrid w:val="0"/>
        <w:spacing w:after="156" w:afterLines="50" w:line="288" w:lineRule="auto"/>
        <w:ind w:firstLine="480" w:firstLineChars="200"/>
        <w:rPr>
          <w:rFonts w:ascii="宋体" w:hAnsi="宋体"/>
          <w:bCs/>
          <w:sz w:val="24"/>
          <w:lang w:eastAsia="zh-CN"/>
        </w:rPr>
      </w:pPr>
      <w:r>
        <w:rPr>
          <w:rFonts w:ascii="宋体" w:hAnsi="宋体" w:hint="eastAsia"/>
          <w:bCs/>
          <w:sz w:val="24"/>
          <w:highlight w:val="white"/>
          <w:lang w:eastAsia="zh-CN"/>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w:t>
      </w:r>
      <w:r>
        <w:rPr>
          <w:rFonts w:ascii="宋体" w:hAnsi="宋体" w:hint="eastAsia"/>
          <w:bCs/>
          <w:sz w:val="24"/>
          <w:highlight w:val="white"/>
          <w:lang w:eastAsia="zh-CN"/>
        </w:rPr>
        <w:t>管人协商一致，基金管理人</w:t>
      </w:r>
      <w:r>
        <w:rPr>
          <w:rFonts w:ascii="宋体" w:hAnsi="宋体" w:hint="eastAsia"/>
          <w:bCs/>
          <w:sz w:val="24"/>
          <w:highlight w:val="white"/>
          <w:lang w:eastAsia="zh-CN"/>
        </w:rPr>
        <w:t>履行适当程序后，</w:t>
      </w:r>
      <w:r>
        <w:rPr>
          <w:rFonts w:ascii="宋体" w:hAnsi="宋体" w:hint="eastAsia"/>
          <w:bCs/>
          <w:sz w:val="24"/>
          <w:highlight w:val="white"/>
          <w:lang w:eastAsia="zh-CN"/>
        </w:rPr>
        <w:t>可依据法律法规或监管部门规定</w:t>
      </w:r>
      <w:r>
        <w:rPr>
          <w:rFonts w:ascii="宋体" w:hAnsi="宋体" w:hint="eastAsia"/>
          <w:bCs/>
          <w:sz w:val="24"/>
          <w:highlight w:val="white"/>
          <w:lang w:eastAsia="zh-CN"/>
        </w:rPr>
        <w:t>对基金合同进行变更</w:t>
      </w:r>
      <w:r>
        <w:rPr>
          <w:rFonts w:ascii="宋体" w:hAnsi="宋体" w:hint="eastAsia"/>
          <w:bCs/>
          <w:sz w:val="24"/>
          <w:highlight w:val="white"/>
          <w:lang w:eastAsia="zh-CN"/>
        </w:rPr>
        <w:t>。</w:t>
      </w:r>
    </w:p>
    <w:p w:rsidR="00CB176C">
      <w:pPr>
        <w:snapToGrid w:val="0"/>
        <w:spacing w:after="156" w:afterLines="50" w:line="288" w:lineRule="auto"/>
        <w:ind w:firstLine="480" w:firstLineChars="200"/>
        <w:rPr>
          <w:rFonts w:ascii="宋体" w:hAnsi="宋体"/>
          <w:sz w:val="24"/>
          <w:lang w:eastAsia="zh-CN"/>
        </w:rPr>
      </w:pPr>
      <w:r>
        <w:rPr>
          <w:rFonts w:ascii="宋体" w:hAnsi="宋体" w:hint="eastAsia"/>
          <w:sz w:val="24"/>
          <w:highlight w:val="white"/>
          <w:lang w:eastAsia="zh-CN"/>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基金管理人应严格按照交易对手名单的范围在银行间债券市场选择交易对手。基金托管人监督基金管理人是否按事前提供的银行间债券市场交易对手名单进行交易。如基金管理人在</w:t>
      </w:r>
      <w:r>
        <w:rPr>
          <w:rFonts w:ascii="宋体" w:hAnsi="宋体" w:hint="eastAsia"/>
          <w:sz w:val="24"/>
          <w:highlight w:val="white"/>
          <w:lang w:eastAsia="zh-CN"/>
        </w:rPr>
        <w:t>基金投资运作之前未向基金托管人提供银行间债券市场交易对手名单的，视为基金管理人认可全市场交易对手。基金管理人在银行间债券市场交易对手名单有更新时应及时发送给基金托管人，新名单确定前已与本次剔除的交易对手所进行但尚未结算的交易，仍应按照协议进行结算。</w:t>
      </w:r>
    </w:p>
    <w:p w:rsidR="00CB176C">
      <w:pPr>
        <w:snapToGrid w:val="0"/>
        <w:spacing w:after="156" w:afterLines="50" w:line="288" w:lineRule="auto"/>
        <w:ind w:firstLine="480" w:firstLineChars="200"/>
        <w:rPr>
          <w:rFonts w:ascii="宋体" w:hAnsi="宋体"/>
          <w:sz w:val="24"/>
          <w:lang w:eastAsia="zh-CN"/>
        </w:rPr>
      </w:pPr>
      <w:r>
        <w:rPr>
          <w:rFonts w:ascii="宋体" w:hAnsi="宋体" w:hint="eastAsia"/>
          <w:sz w:val="24"/>
          <w:highlight w:val="white"/>
          <w:lang w:eastAsia="zh-CN"/>
        </w:rPr>
        <w:t>基金管理人负责对交易对手的资信控制，按银行间债券市场的交易规则进行交易，并负责解决因交易对手不履行合同而造成的纠纷。基金托管人根据银行间债券市场成交单对本基金银行间债券交易的交易对手进行监督。如基金托管人事后发现基金管理人未按照事先约定的交易对手进行交易时，基金</w:t>
      </w:r>
      <w:r>
        <w:rPr>
          <w:rFonts w:ascii="宋体" w:hAnsi="宋体" w:hint="eastAsia"/>
          <w:sz w:val="24"/>
          <w:highlight w:val="white"/>
          <w:lang w:eastAsia="zh-CN"/>
        </w:rPr>
        <w:t>托管人应及时提醒基金管理人，基金托管人不承担由此造成的任何损失和责任。</w:t>
      </w:r>
    </w:p>
    <w:p w:rsidR="00CB176C">
      <w:pPr>
        <w:snapToGrid w:val="0"/>
        <w:spacing w:after="156" w:afterLines="50" w:line="288" w:lineRule="auto"/>
        <w:ind w:firstLine="480" w:firstLineChars="200"/>
        <w:rPr>
          <w:rFonts w:ascii="宋体" w:hAnsi="宋体"/>
          <w:sz w:val="24"/>
          <w:lang w:eastAsia="zh-CN"/>
        </w:rPr>
      </w:pPr>
      <w:r>
        <w:rPr>
          <w:rFonts w:ascii="宋体" w:hAnsi="宋体" w:hint="eastAsia"/>
          <w:sz w:val="24"/>
          <w:highlight w:val="white"/>
          <w:lang w:eastAsia="zh-CN"/>
        </w:rPr>
        <w:t>（五）基金托管人根据有关法律法规的规定及基金合同和本托管协议的约定，对基金管理人选择存款银行进行监督。</w:t>
      </w:r>
    </w:p>
    <w:p w:rsidR="00CB176C">
      <w:pPr>
        <w:snapToGrid w:val="0"/>
        <w:spacing w:after="156" w:afterLines="50" w:line="288" w:lineRule="auto"/>
        <w:ind w:firstLine="480" w:firstLineChars="200"/>
        <w:rPr>
          <w:rFonts w:ascii="宋体" w:hAnsi="宋体"/>
          <w:sz w:val="24"/>
          <w:lang w:eastAsia="zh-CN"/>
        </w:rPr>
      </w:pPr>
      <w:r>
        <w:rPr>
          <w:rFonts w:ascii="宋体" w:hAnsi="宋体" w:hint="eastAsia"/>
          <w:sz w:val="24"/>
          <w:highlight w:val="white"/>
          <w:lang w:eastAsia="zh-CN"/>
        </w:rPr>
        <w:t>基金投资银行存款的，基金管理人应根据法律法规的规定及基金合同的约定，确定符合条件的所有存款银行的名单，并及时提供给基金托管人，基金托管人应据以对基金投资银行存款的交易对手是否符合有关规定进行监督。本基金投资银行存款应符合如下规定：</w:t>
      </w:r>
    </w:p>
    <w:p w:rsidR="00CB176C">
      <w:pPr>
        <w:snapToGrid w:val="0"/>
        <w:spacing w:before="156" w:beforeLines="50"/>
        <w:ind w:firstLine="480" w:firstLineChars="200"/>
        <w:outlineLvl w:val="0"/>
        <w:rPr>
          <w:rFonts w:ascii="宋体" w:hAnsi="宋体"/>
          <w:sz w:val="24"/>
          <w:lang w:eastAsia="zh-CN"/>
        </w:rPr>
      </w:pPr>
      <w:r>
        <w:rPr>
          <w:rFonts w:ascii="宋体" w:hAnsi="宋体" w:hint="eastAsia"/>
          <w:sz w:val="24"/>
          <w:highlight w:val="white"/>
          <w:lang w:eastAsia="zh-CN"/>
        </w:rPr>
        <w:t>1</w:t>
      </w:r>
      <w:r>
        <w:rPr>
          <w:rFonts w:ascii="宋体" w:hAnsi="宋体"/>
          <w:sz w:val="24"/>
          <w:highlight w:val="white"/>
          <w:lang w:eastAsia="zh-CN"/>
        </w:rPr>
        <w:t>.</w:t>
      </w:r>
      <w:r>
        <w:rPr>
          <w:rFonts w:ascii="宋体" w:hAnsi="宋体" w:hint="eastAsia"/>
          <w:sz w:val="24"/>
          <w:highlight w:val="white"/>
          <w:lang w:eastAsia="zh-CN"/>
        </w:rPr>
        <w:t>基金管理人、基金托管人应当与存款银行建立定期对账机制，确保基金银行存款业务账目及核算的真实、准确。</w:t>
      </w:r>
    </w:p>
    <w:p w:rsidR="00CB176C">
      <w:pPr>
        <w:snapToGrid w:val="0"/>
        <w:spacing w:before="156" w:beforeLines="50"/>
        <w:ind w:firstLine="480" w:firstLineChars="200"/>
        <w:outlineLvl w:val="0"/>
        <w:rPr>
          <w:rFonts w:ascii="宋体" w:hAnsi="宋体"/>
          <w:sz w:val="24"/>
          <w:lang w:eastAsia="zh-CN"/>
        </w:rPr>
      </w:pPr>
      <w:r>
        <w:rPr>
          <w:rFonts w:ascii="宋体" w:hAnsi="宋体" w:hint="eastAsia"/>
          <w:sz w:val="24"/>
          <w:highlight w:val="white"/>
          <w:lang w:eastAsia="zh-CN"/>
        </w:rPr>
        <w:t>2</w:t>
      </w:r>
      <w:r>
        <w:rPr>
          <w:rFonts w:ascii="宋体" w:hAnsi="宋体"/>
          <w:sz w:val="24"/>
          <w:highlight w:val="white"/>
          <w:lang w:eastAsia="zh-CN"/>
        </w:rPr>
        <w:t>.</w:t>
      </w:r>
      <w:r>
        <w:rPr>
          <w:rFonts w:ascii="宋体" w:hAnsi="宋体" w:hint="eastAsia"/>
          <w:sz w:val="24"/>
          <w:highlight w:val="white"/>
          <w:lang w:eastAsia="zh-CN"/>
        </w:rPr>
        <w:t>基金管理人与基金托管人应根据相关规定，就本基金银行存款业务明确双方在相关协议签署、账户开设与管理、投资指令传达与执行、资金划拨、账目核对、到期兑付、文件保管以及存款证实书的开立、传递、保管等流程中的权利、义务和职责，以确保基金财产的安全，保护基金份额持有人的合法权益。</w:t>
      </w:r>
    </w:p>
    <w:p w:rsidR="00CB176C">
      <w:pPr>
        <w:snapToGrid w:val="0"/>
        <w:spacing w:before="156" w:beforeLines="50"/>
        <w:ind w:firstLine="480" w:firstLineChars="200"/>
        <w:outlineLvl w:val="0"/>
        <w:rPr>
          <w:rFonts w:ascii="宋体" w:hAnsi="宋体"/>
          <w:sz w:val="24"/>
          <w:lang w:eastAsia="zh-CN"/>
        </w:rPr>
      </w:pPr>
      <w:r>
        <w:rPr>
          <w:rFonts w:ascii="宋体" w:hAnsi="宋体" w:hint="eastAsia"/>
          <w:sz w:val="24"/>
          <w:highlight w:val="white"/>
          <w:lang w:eastAsia="zh-CN"/>
        </w:rPr>
        <w:t>3</w:t>
      </w:r>
      <w:r>
        <w:rPr>
          <w:rFonts w:ascii="宋体" w:hAnsi="宋体"/>
          <w:sz w:val="24"/>
          <w:highlight w:val="white"/>
          <w:lang w:eastAsia="zh-CN"/>
        </w:rPr>
        <w:t>.</w:t>
      </w:r>
      <w:r>
        <w:rPr>
          <w:rFonts w:ascii="宋体" w:hAnsi="宋体" w:hint="eastAsia"/>
          <w:sz w:val="24"/>
          <w:highlight w:val="white"/>
          <w:lang w:eastAsia="zh-CN"/>
        </w:rPr>
        <w:t>基金托管人应加强对基金银行存款业务的监督与核查，审查、复核相关协议、账户资料、指令、存款证实书等有关文件，履行托管职责。</w:t>
      </w:r>
    </w:p>
    <w:p w:rsidR="00CB176C">
      <w:pPr>
        <w:snapToGrid w:val="0"/>
        <w:spacing w:before="156" w:beforeLines="50"/>
        <w:ind w:firstLine="480" w:firstLineChars="200"/>
        <w:outlineLvl w:val="0"/>
        <w:rPr>
          <w:rFonts w:ascii="宋体" w:hAnsi="宋体"/>
          <w:sz w:val="24"/>
          <w:lang w:eastAsia="zh-CN"/>
        </w:rPr>
      </w:pPr>
      <w:r>
        <w:rPr>
          <w:rFonts w:ascii="宋体" w:hAnsi="宋体" w:hint="eastAsia"/>
          <w:sz w:val="24"/>
          <w:highlight w:val="white"/>
          <w:lang w:eastAsia="zh-CN"/>
        </w:rPr>
        <w:t>4</w:t>
      </w:r>
      <w:r>
        <w:rPr>
          <w:rFonts w:ascii="宋体" w:hAnsi="宋体"/>
          <w:sz w:val="24"/>
          <w:highlight w:val="white"/>
          <w:lang w:eastAsia="zh-CN"/>
        </w:rPr>
        <w:t>.</w:t>
      </w:r>
      <w:r>
        <w:rPr>
          <w:rFonts w:ascii="宋体" w:hAnsi="宋体" w:hint="eastAsia"/>
          <w:sz w:val="24"/>
          <w:highlight w:val="white"/>
          <w:lang w:eastAsia="zh-CN"/>
        </w:rPr>
        <w:t>基金管理人与基金托管人在开展基金存款业务时，应严格遵守《基金法》、《运作办法》等有关法律法规，以及国家有关账户管理、利率管理、支付结算等的各项规定。</w:t>
      </w:r>
    </w:p>
    <w:p w:rsidR="00CB176C">
      <w:pPr>
        <w:snapToGrid w:val="0"/>
        <w:spacing w:before="156" w:beforeLines="50"/>
        <w:ind w:firstLine="480" w:firstLineChars="200"/>
        <w:outlineLvl w:val="0"/>
        <w:rPr>
          <w:rFonts w:ascii="宋体" w:hAnsi="宋体"/>
          <w:sz w:val="24"/>
          <w:lang w:eastAsia="zh-CN"/>
        </w:rPr>
      </w:pPr>
      <w:r>
        <w:rPr>
          <w:rFonts w:ascii="宋体" w:hAnsi="宋体" w:hint="eastAsia"/>
          <w:sz w:val="24"/>
          <w:highlight w:val="white"/>
          <w:lang w:eastAsia="zh-CN"/>
        </w:rPr>
        <w:t>（六）基金托管人根据有关法律法规的规定及基金合同的约定，对基金管理人投资流通受限证券进行监督。</w:t>
      </w:r>
    </w:p>
    <w:p w:rsidR="00CB176C">
      <w:pPr>
        <w:snapToGrid w:val="0"/>
        <w:spacing w:before="156" w:beforeLines="50"/>
        <w:ind w:firstLine="480" w:firstLineChars="200"/>
        <w:outlineLvl w:val="0"/>
        <w:rPr>
          <w:rFonts w:ascii="宋体" w:hAnsi="宋体"/>
          <w:sz w:val="24"/>
          <w:lang w:eastAsia="zh-CN"/>
        </w:rPr>
      </w:pPr>
      <w:r>
        <w:rPr>
          <w:rFonts w:ascii="宋体" w:hAnsi="宋体" w:hint="eastAsia"/>
          <w:sz w:val="24"/>
          <w:highlight w:val="white"/>
          <w:lang w:eastAsia="zh-CN"/>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w:t>
      </w:r>
      <w:r>
        <w:rPr>
          <w:rFonts w:ascii="宋体" w:hAnsi="宋体" w:hint="eastAsia"/>
          <w:sz w:val="24"/>
          <w:highlight w:val="white"/>
          <w:lang w:eastAsia="zh-CN"/>
        </w:rPr>
        <w:t>监督。</w:t>
      </w:r>
    </w:p>
    <w:p w:rsidR="00CB176C">
      <w:pPr>
        <w:snapToGrid w:val="0"/>
        <w:spacing w:before="156" w:beforeLines="50"/>
        <w:ind w:firstLine="480" w:firstLineChars="200"/>
        <w:outlineLvl w:val="0"/>
        <w:rPr>
          <w:rFonts w:ascii="宋体" w:hAnsi="宋体"/>
          <w:sz w:val="24"/>
          <w:lang w:eastAsia="zh-CN"/>
        </w:rPr>
      </w:pPr>
      <w:r>
        <w:rPr>
          <w:rFonts w:ascii="宋体" w:hAnsi="宋体"/>
          <w:sz w:val="24"/>
          <w:highlight w:val="white"/>
          <w:lang w:eastAsia="zh-CN"/>
        </w:rPr>
        <w:t>1.</w:t>
      </w:r>
      <w:r>
        <w:rPr>
          <w:rFonts w:ascii="宋体" w:hAnsi="宋体" w:hint="eastAsia"/>
          <w:sz w:val="24"/>
          <w:highlight w:val="white"/>
          <w:lang w:eastAsia="zh-CN"/>
        </w:rPr>
        <w:t>本基金投资的流通受限证券须为经中国证监会规范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本基金投资的流通受限证券限于可由中国证券登记结算有限责任公司或中央国债登记结算有限责任公司负责登记和存管，并可在证券交易所或全国银行间债券市场交易的证券。本基金投资的流通受限证券应保证登记存管在本基金名下，基金管理人负责相关工作</w:t>
      </w:r>
      <w:r>
        <w:rPr>
          <w:rFonts w:ascii="宋体" w:hAnsi="宋体" w:hint="eastAsia"/>
          <w:sz w:val="24"/>
          <w:highlight w:val="white"/>
          <w:lang w:eastAsia="zh-CN"/>
        </w:rPr>
        <w:t>的落实和协调，并确保基金托管人能够正常查询。因基金管理人原因产生的流通受限证券登记存管问题，造成基金托管人无法安全保管本基金资产的责任与损失，以及因流通受限证券存管直接影响本基金安全的责任及损失，由基金管理人承担。</w:t>
      </w:r>
    </w:p>
    <w:p w:rsidR="00CB176C">
      <w:pPr>
        <w:snapToGrid w:val="0"/>
        <w:spacing w:before="156" w:beforeLines="50"/>
        <w:ind w:firstLine="480" w:firstLineChars="200"/>
        <w:outlineLvl w:val="0"/>
        <w:rPr>
          <w:rFonts w:ascii="宋体" w:hAnsi="宋体"/>
          <w:sz w:val="24"/>
          <w:lang w:eastAsia="zh-CN"/>
        </w:rPr>
      </w:pPr>
      <w:r>
        <w:rPr>
          <w:rFonts w:ascii="宋体" w:hAnsi="宋体" w:hint="eastAsia"/>
          <w:sz w:val="24"/>
          <w:highlight w:val="white"/>
          <w:lang w:eastAsia="zh-CN"/>
        </w:rPr>
        <w:t>本基金投资流通受限证券，不得预付任何形式的保证金。</w:t>
      </w:r>
    </w:p>
    <w:p w:rsidR="00CB176C">
      <w:pPr>
        <w:snapToGrid w:val="0"/>
        <w:spacing w:before="156" w:beforeLines="50"/>
        <w:ind w:firstLine="480" w:firstLineChars="200"/>
        <w:outlineLvl w:val="0"/>
        <w:rPr>
          <w:rFonts w:ascii="宋体" w:hAnsi="宋体"/>
          <w:sz w:val="24"/>
          <w:lang w:eastAsia="zh-CN"/>
        </w:rPr>
      </w:pPr>
      <w:r>
        <w:rPr>
          <w:rFonts w:ascii="宋体" w:hAnsi="宋体"/>
          <w:sz w:val="24"/>
          <w:highlight w:val="white"/>
          <w:lang w:eastAsia="zh-CN"/>
        </w:rPr>
        <w:t>2.</w:t>
      </w:r>
      <w:r>
        <w:rPr>
          <w:rFonts w:ascii="宋体" w:hAnsi="宋体" w:hint="eastAsia"/>
          <w:sz w:val="24"/>
          <w:highlight w:val="white"/>
          <w:lang w:eastAsia="zh-CN"/>
        </w:rPr>
        <w:t>基金管理人投资非公开发行股票，应制订流动性风险处置预案。基金管理人应在首次投资流通受限证券前向基金托管人提供基金投资非公开发行股票相关流动性风险处置预案。</w:t>
      </w:r>
    </w:p>
    <w:p w:rsidR="00CB176C">
      <w:pPr>
        <w:snapToGrid w:val="0"/>
        <w:spacing w:before="156" w:beforeLines="50"/>
        <w:ind w:firstLine="480" w:firstLineChars="200"/>
        <w:outlineLvl w:val="0"/>
        <w:rPr>
          <w:rFonts w:ascii="宋体" w:hAnsi="宋体"/>
          <w:sz w:val="24"/>
          <w:lang w:eastAsia="zh-CN"/>
        </w:rPr>
      </w:pPr>
      <w:r>
        <w:rPr>
          <w:rFonts w:ascii="宋体" w:hAnsi="宋体" w:hint="eastAsia"/>
          <w:sz w:val="24"/>
          <w:highlight w:val="white"/>
          <w:lang w:eastAsia="zh-CN"/>
        </w:rPr>
        <w:t>基金管理人对本基金投资流通受限证券的流动性风险负责。</w:t>
      </w:r>
    </w:p>
    <w:p w:rsidR="00CB176C">
      <w:pPr>
        <w:snapToGrid w:val="0"/>
        <w:spacing w:before="156" w:beforeLines="50"/>
        <w:ind w:firstLine="480" w:firstLineChars="200"/>
        <w:outlineLvl w:val="0"/>
        <w:rPr>
          <w:rFonts w:ascii="宋体" w:hAnsi="宋体"/>
          <w:sz w:val="24"/>
          <w:lang w:eastAsia="zh-CN"/>
        </w:rPr>
      </w:pPr>
      <w:r>
        <w:rPr>
          <w:rFonts w:ascii="宋体" w:hAnsi="宋体"/>
          <w:sz w:val="24"/>
          <w:highlight w:val="white"/>
          <w:lang w:eastAsia="zh-CN"/>
        </w:rPr>
        <w:t>3.</w:t>
      </w:r>
      <w:r>
        <w:rPr>
          <w:rFonts w:ascii="宋体" w:hAnsi="宋体" w:hint="eastAsia"/>
          <w:sz w:val="24"/>
          <w:highlight w:val="white"/>
          <w:lang w:eastAsia="zh-CN"/>
        </w:rPr>
        <w:t>本基金投资非公开发行股票，</w:t>
      </w:r>
      <w:r>
        <w:rPr>
          <w:rFonts w:ascii="宋体" w:hAnsi="宋体" w:hint="eastAsia"/>
          <w:sz w:val="24"/>
          <w:highlight w:val="white"/>
          <w:lang w:eastAsia="zh-CN"/>
        </w:rPr>
        <w:t>基金管理人应至少于投资前</w:t>
      </w:r>
      <w:r>
        <w:rPr>
          <w:rFonts w:ascii="宋体" w:hAnsi="宋体"/>
          <w:sz w:val="24"/>
          <w:highlight w:val="white"/>
          <w:lang w:eastAsia="zh-CN"/>
        </w:rPr>
        <w:t>二</w:t>
      </w:r>
      <w:r>
        <w:rPr>
          <w:rFonts w:ascii="宋体" w:hAnsi="宋体" w:hint="eastAsia"/>
          <w:sz w:val="24"/>
          <w:highlight w:val="white"/>
          <w:lang w:eastAsia="zh-CN"/>
        </w:rPr>
        <w:t>个工作日向基金托管人提交有关书面资料，并保证向基金托管人提供的有关资料真实、准确、完整。有关资料如有调整，基金管理人应及时提供调整后的资料。上述书面资料包括但不限于：</w:t>
      </w:r>
    </w:p>
    <w:p w:rsidR="00CB176C">
      <w:pPr>
        <w:snapToGrid w:val="0"/>
        <w:spacing w:before="156" w:beforeLines="50"/>
        <w:ind w:firstLine="480" w:firstLineChars="200"/>
        <w:outlineLvl w:val="0"/>
        <w:rPr>
          <w:rFonts w:ascii="宋体" w:hAnsi="宋体"/>
          <w:sz w:val="24"/>
          <w:lang w:eastAsia="zh-CN"/>
        </w:rPr>
      </w:pPr>
      <w:r>
        <w:rPr>
          <w:rFonts w:ascii="宋体" w:hAnsi="宋体" w:hint="eastAsia"/>
          <w:sz w:val="24"/>
          <w:highlight w:val="white"/>
          <w:lang w:eastAsia="zh-CN"/>
        </w:rPr>
        <w:t>（</w:t>
      </w:r>
      <w:r>
        <w:rPr>
          <w:rFonts w:ascii="宋体" w:hAnsi="宋体"/>
          <w:sz w:val="24"/>
          <w:highlight w:val="white"/>
          <w:lang w:eastAsia="zh-CN"/>
        </w:rPr>
        <w:t>1</w:t>
      </w:r>
      <w:r>
        <w:rPr>
          <w:rFonts w:ascii="宋体" w:hAnsi="宋体" w:hint="eastAsia"/>
          <w:sz w:val="24"/>
          <w:highlight w:val="white"/>
          <w:lang w:eastAsia="zh-CN"/>
        </w:rPr>
        <w:t>）中国证监会批准发行非公开发行股票的批准文件。</w:t>
      </w:r>
    </w:p>
    <w:p w:rsidR="00CB176C">
      <w:pPr>
        <w:snapToGrid w:val="0"/>
        <w:spacing w:before="156" w:beforeLines="50"/>
        <w:ind w:firstLine="480" w:firstLineChars="200"/>
        <w:outlineLvl w:val="0"/>
        <w:rPr>
          <w:rFonts w:ascii="宋体" w:hAnsi="宋体"/>
          <w:sz w:val="24"/>
          <w:lang w:eastAsia="zh-CN"/>
        </w:rPr>
      </w:pPr>
      <w:r>
        <w:rPr>
          <w:rFonts w:ascii="宋体" w:hAnsi="宋体" w:hint="eastAsia"/>
          <w:sz w:val="24"/>
          <w:highlight w:val="white"/>
          <w:lang w:eastAsia="zh-CN"/>
        </w:rPr>
        <w:t>（</w:t>
      </w:r>
      <w:r>
        <w:rPr>
          <w:rFonts w:ascii="宋体" w:hAnsi="宋体"/>
          <w:sz w:val="24"/>
          <w:highlight w:val="white"/>
          <w:lang w:eastAsia="zh-CN"/>
        </w:rPr>
        <w:t>2</w:t>
      </w:r>
      <w:r>
        <w:rPr>
          <w:rFonts w:ascii="宋体" w:hAnsi="宋体" w:hint="eastAsia"/>
          <w:sz w:val="24"/>
          <w:highlight w:val="white"/>
          <w:lang w:eastAsia="zh-CN"/>
        </w:rPr>
        <w:t>）非公开发行股票有关发行数量、发行价格、锁定期等发行资料。</w:t>
      </w:r>
    </w:p>
    <w:p w:rsidR="00CB176C">
      <w:pPr>
        <w:snapToGrid w:val="0"/>
        <w:spacing w:before="156" w:beforeLines="50"/>
        <w:ind w:firstLine="480" w:firstLineChars="200"/>
        <w:outlineLvl w:val="0"/>
        <w:rPr>
          <w:rFonts w:ascii="宋体" w:hAnsi="宋体"/>
          <w:sz w:val="24"/>
          <w:lang w:eastAsia="zh-CN"/>
        </w:rPr>
      </w:pPr>
      <w:r>
        <w:rPr>
          <w:rFonts w:ascii="宋体" w:hAnsi="宋体" w:hint="eastAsia"/>
          <w:sz w:val="24"/>
          <w:highlight w:val="white"/>
          <w:lang w:eastAsia="zh-CN"/>
        </w:rPr>
        <w:t>（</w:t>
      </w:r>
      <w:r>
        <w:rPr>
          <w:rFonts w:ascii="宋体" w:hAnsi="宋体"/>
          <w:sz w:val="24"/>
          <w:highlight w:val="white"/>
          <w:lang w:eastAsia="zh-CN"/>
        </w:rPr>
        <w:t>3</w:t>
      </w:r>
      <w:r>
        <w:rPr>
          <w:rFonts w:ascii="宋体" w:hAnsi="宋体" w:hint="eastAsia"/>
          <w:sz w:val="24"/>
          <w:highlight w:val="white"/>
          <w:lang w:eastAsia="zh-CN"/>
        </w:rPr>
        <w:t>）基金拟认购的数量、价格、总成本、账面价值。</w:t>
      </w:r>
    </w:p>
    <w:p w:rsidR="00CB176C">
      <w:pPr>
        <w:snapToGrid w:val="0"/>
        <w:spacing w:before="156" w:beforeLines="50"/>
        <w:ind w:firstLine="480" w:firstLineChars="200"/>
        <w:outlineLvl w:val="0"/>
        <w:rPr>
          <w:rFonts w:ascii="宋体" w:hAnsi="宋体"/>
          <w:sz w:val="24"/>
          <w:lang w:eastAsia="zh-CN"/>
        </w:rPr>
      </w:pPr>
      <w:r>
        <w:rPr>
          <w:rFonts w:ascii="宋体" w:hAnsi="宋体"/>
          <w:sz w:val="24"/>
          <w:highlight w:val="white"/>
          <w:lang w:eastAsia="zh-CN"/>
        </w:rPr>
        <w:t>4.</w:t>
      </w:r>
      <w:r>
        <w:rPr>
          <w:rFonts w:ascii="宋体" w:hAnsi="宋体" w:hint="eastAsia"/>
          <w:sz w:val="24"/>
          <w:highlight w:val="white"/>
          <w:lang w:eastAsia="zh-CN"/>
        </w:rPr>
        <w:t>基金管理人应在本基金投资非公开发行股票后两个交易日内，在中国证监会规定媒介披露所投资非公开发行股票的名称、数量、总成本、账面价值，以及总成本和账面价</w:t>
      </w:r>
      <w:r>
        <w:rPr>
          <w:rFonts w:ascii="宋体" w:hAnsi="宋体" w:hint="eastAsia"/>
          <w:sz w:val="24"/>
          <w:highlight w:val="white"/>
          <w:lang w:eastAsia="zh-CN"/>
        </w:rPr>
        <w:t>值占基金资产净值的比例、锁定期等信息。</w:t>
      </w:r>
    </w:p>
    <w:p w:rsidR="00CB176C">
      <w:pPr>
        <w:snapToGrid w:val="0"/>
        <w:spacing w:before="156" w:beforeLines="50"/>
        <w:ind w:firstLine="480" w:firstLineChars="200"/>
        <w:outlineLvl w:val="0"/>
        <w:rPr>
          <w:rFonts w:ascii="宋体" w:hAnsi="宋体"/>
          <w:sz w:val="24"/>
          <w:lang w:eastAsia="zh-CN"/>
        </w:rPr>
      </w:pPr>
      <w:r>
        <w:rPr>
          <w:rFonts w:ascii="宋体" w:hAnsi="宋体"/>
          <w:sz w:val="24"/>
          <w:highlight w:val="white"/>
          <w:lang w:eastAsia="zh-CN"/>
        </w:rPr>
        <w:t>5.</w:t>
      </w:r>
      <w:r>
        <w:rPr>
          <w:rFonts w:ascii="宋体" w:hAnsi="宋体" w:hint="eastAsia"/>
          <w:sz w:val="24"/>
          <w:highlight w:val="white"/>
          <w:lang w:eastAsia="zh-CN"/>
        </w:rPr>
        <w:t>基金托管人根据有关规定有权对基金管理人进行以下事项监督：</w:t>
      </w:r>
    </w:p>
    <w:p w:rsidR="00CB176C">
      <w:pPr>
        <w:snapToGrid w:val="0"/>
        <w:spacing w:before="156" w:beforeLines="50"/>
        <w:ind w:firstLine="480" w:firstLineChars="200"/>
        <w:outlineLvl w:val="0"/>
        <w:rPr>
          <w:rFonts w:ascii="宋体" w:hAnsi="宋体"/>
          <w:sz w:val="24"/>
          <w:lang w:eastAsia="zh-CN"/>
        </w:rPr>
      </w:pPr>
      <w:r>
        <w:rPr>
          <w:rFonts w:ascii="宋体" w:hAnsi="宋体" w:hint="eastAsia"/>
          <w:sz w:val="24"/>
          <w:highlight w:val="white"/>
          <w:lang w:eastAsia="zh-CN"/>
        </w:rPr>
        <w:t>（</w:t>
      </w:r>
      <w:r>
        <w:rPr>
          <w:rFonts w:ascii="宋体" w:hAnsi="宋体"/>
          <w:sz w:val="24"/>
          <w:highlight w:val="white"/>
          <w:lang w:eastAsia="zh-CN"/>
        </w:rPr>
        <w:t>1</w:t>
      </w:r>
      <w:r>
        <w:rPr>
          <w:rFonts w:ascii="宋体" w:hAnsi="宋体" w:hint="eastAsia"/>
          <w:sz w:val="24"/>
          <w:highlight w:val="white"/>
          <w:lang w:eastAsia="zh-CN"/>
        </w:rPr>
        <w:t>）本基金投资流通受限证券时的法律法规遵守情况。</w:t>
      </w:r>
    </w:p>
    <w:p w:rsidR="00CB176C">
      <w:pPr>
        <w:snapToGrid w:val="0"/>
        <w:spacing w:before="156" w:beforeLines="50"/>
        <w:ind w:firstLine="480" w:firstLineChars="200"/>
        <w:outlineLvl w:val="0"/>
        <w:rPr>
          <w:rFonts w:ascii="宋体" w:hAnsi="宋体"/>
          <w:sz w:val="24"/>
          <w:lang w:eastAsia="zh-CN"/>
        </w:rPr>
      </w:pPr>
      <w:r>
        <w:rPr>
          <w:rFonts w:ascii="宋体" w:hAnsi="宋体" w:hint="eastAsia"/>
          <w:sz w:val="24"/>
          <w:highlight w:val="white"/>
          <w:lang w:eastAsia="zh-CN"/>
        </w:rPr>
        <w:t>（</w:t>
      </w:r>
      <w:r>
        <w:rPr>
          <w:rFonts w:ascii="宋体" w:hAnsi="宋体"/>
          <w:sz w:val="24"/>
          <w:highlight w:val="white"/>
          <w:lang w:eastAsia="zh-CN"/>
        </w:rPr>
        <w:t>2</w:t>
      </w:r>
      <w:r>
        <w:rPr>
          <w:rFonts w:ascii="宋体" w:hAnsi="宋体" w:hint="eastAsia"/>
          <w:sz w:val="24"/>
          <w:highlight w:val="white"/>
          <w:lang w:eastAsia="zh-CN"/>
        </w:rPr>
        <w:t>）在基金投资流通受限证券管理工作方面有关制度、流动性风险处置预案的建立与完善情况。</w:t>
      </w:r>
    </w:p>
    <w:p w:rsidR="00CB176C">
      <w:pPr>
        <w:snapToGrid w:val="0"/>
        <w:spacing w:before="156" w:beforeLines="50"/>
        <w:ind w:firstLine="480" w:firstLineChars="200"/>
        <w:outlineLvl w:val="0"/>
        <w:rPr>
          <w:rFonts w:ascii="宋体" w:hAnsi="宋体"/>
          <w:sz w:val="24"/>
          <w:lang w:eastAsia="zh-CN"/>
        </w:rPr>
      </w:pPr>
      <w:r>
        <w:rPr>
          <w:rFonts w:ascii="宋体" w:hAnsi="宋体" w:hint="eastAsia"/>
          <w:sz w:val="24"/>
          <w:highlight w:val="white"/>
          <w:lang w:eastAsia="zh-CN"/>
        </w:rPr>
        <w:t>（</w:t>
      </w:r>
      <w:r>
        <w:rPr>
          <w:rFonts w:ascii="宋体" w:hAnsi="宋体"/>
          <w:sz w:val="24"/>
          <w:highlight w:val="white"/>
          <w:lang w:eastAsia="zh-CN"/>
        </w:rPr>
        <w:t>3</w:t>
      </w:r>
      <w:r>
        <w:rPr>
          <w:rFonts w:ascii="宋体" w:hAnsi="宋体" w:hint="eastAsia"/>
          <w:sz w:val="24"/>
          <w:highlight w:val="white"/>
          <w:lang w:eastAsia="zh-CN"/>
        </w:rPr>
        <w:t>）有关比例限制的执行情况。</w:t>
      </w:r>
    </w:p>
    <w:p w:rsidR="00CB176C">
      <w:pPr>
        <w:snapToGrid w:val="0"/>
        <w:spacing w:before="156" w:beforeLines="50"/>
        <w:ind w:firstLine="480" w:firstLineChars="200"/>
        <w:outlineLvl w:val="0"/>
        <w:rPr>
          <w:rFonts w:ascii="宋体" w:hAnsi="宋体"/>
          <w:sz w:val="24"/>
          <w:lang w:eastAsia="zh-CN"/>
        </w:rPr>
      </w:pPr>
      <w:r>
        <w:rPr>
          <w:rFonts w:ascii="宋体" w:hAnsi="宋体" w:hint="eastAsia"/>
          <w:sz w:val="24"/>
          <w:highlight w:val="white"/>
          <w:lang w:eastAsia="zh-CN"/>
        </w:rPr>
        <w:t>（</w:t>
      </w:r>
      <w:r>
        <w:rPr>
          <w:rFonts w:ascii="宋体" w:hAnsi="宋体"/>
          <w:sz w:val="24"/>
          <w:highlight w:val="white"/>
          <w:lang w:eastAsia="zh-CN"/>
        </w:rPr>
        <w:t>4</w:t>
      </w:r>
      <w:r>
        <w:rPr>
          <w:rFonts w:ascii="宋体" w:hAnsi="宋体" w:hint="eastAsia"/>
          <w:sz w:val="24"/>
          <w:highlight w:val="white"/>
          <w:lang w:eastAsia="zh-CN"/>
        </w:rPr>
        <w:t>）信息披露情况。</w:t>
      </w:r>
    </w:p>
    <w:p w:rsidR="00CB176C">
      <w:pPr>
        <w:snapToGrid w:val="0"/>
        <w:spacing w:before="156" w:beforeLines="50"/>
        <w:ind w:firstLine="480" w:firstLineChars="200"/>
        <w:outlineLvl w:val="0"/>
        <w:rPr>
          <w:rFonts w:ascii="宋体" w:hAnsi="宋体"/>
          <w:sz w:val="24"/>
          <w:lang w:eastAsia="zh-CN"/>
        </w:rPr>
      </w:pPr>
      <w:r>
        <w:rPr>
          <w:rFonts w:ascii="宋体" w:hAnsi="宋体"/>
          <w:sz w:val="24"/>
          <w:highlight w:val="white"/>
          <w:lang w:eastAsia="zh-CN"/>
        </w:rPr>
        <w:t>6.</w:t>
      </w:r>
      <w:r>
        <w:rPr>
          <w:rFonts w:ascii="宋体" w:hAnsi="宋体" w:hint="eastAsia"/>
          <w:sz w:val="24"/>
          <w:highlight w:val="white"/>
          <w:lang w:eastAsia="zh-CN"/>
        </w:rPr>
        <w:t>相关法律法规对基金投资流通受限证券有新规定的，从其规定。</w:t>
      </w:r>
    </w:p>
    <w:p w:rsidR="00CB176C">
      <w:pPr>
        <w:snapToGrid w:val="0"/>
        <w:spacing w:before="156" w:beforeLines="50"/>
        <w:ind w:firstLine="480" w:firstLineChars="200"/>
        <w:outlineLvl w:val="0"/>
        <w:rPr>
          <w:rFonts w:ascii="宋体" w:hAnsi="宋体"/>
          <w:sz w:val="24"/>
          <w:lang w:eastAsia="zh-CN"/>
        </w:rPr>
      </w:pPr>
      <w:r>
        <w:rPr>
          <w:rFonts w:ascii="宋体" w:hAnsi="宋体" w:hint="eastAsia"/>
          <w:sz w:val="24"/>
          <w:highlight w:val="white"/>
          <w:lang w:eastAsia="zh-CN"/>
        </w:rPr>
        <w:t>（七）基金托管人根据有关法律法规的规定及基金合同的约定，对基金资产净值计算、基金份额净值计算、应收资金到账、基金费用开支及收入确定、基金收益分配、相关信息</w:t>
      </w:r>
      <w:r>
        <w:rPr>
          <w:rFonts w:ascii="宋体" w:hAnsi="宋体" w:hint="eastAsia"/>
          <w:sz w:val="24"/>
          <w:highlight w:val="white"/>
          <w:lang w:eastAsia="zh-CN"/>
        </w:rPr>
        <w:t>披露、基金宣传推介材料中登载基金业绩表现数据等进行监督和核查。</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八）基金管理人应积极配合和协助基金托管人依照法律法规、基金合同和本托管协议对基金业务进行监督和核查。对基金托管人发出的书面提示，基金管理人应在规定时间内答复并改正，就基金托管人的疑义进行解释或举证；对基金托管人按照法律法规、基金合同和本托管协议的要求需向中国证监会报送基金监督报告的，基金管理人应积极配合提供相关数据资料和制度等。</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如基金托管人发现基金管理人的指令或实际投资运作违反《基金法》、基金合同、本托管协议及其他有关规定时，应及时以电话提</w:t>
      </w:r>
      <w:r>
        <w:rPr>
          <w:rFonts w:ascii="宋体" w:hAnsi="宋体" w:cs="Arial" w:hint="eastAsia"/>
          <w:sz w:val="24"/>
          <w:highlight w:val="white"/>
          <w:lang w:eastAsia="zh-CN"/>
        </w:rPr>
        <w:t>醒或书面提示等方式通知基金管理人限期纠正。基金管理人应积极配合和协助基金托管人的监督和核查。基金管理人收到书面通知后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如基金托管人发现基金管理人的指令违反法律、行政法规和其他有关规定，或者违反基金合同约定的，应当视情况暂缓</w:t>
      </w:r>
      <w:r>
        <w:rPr>
          <w:rFonts w:ascii="宋体" w:hAnsi="宋体" w:cs="Arial"/>
          <w:sz w:val="24"/>
          <w:highlight w:val="white"/>
          <w:lang w:eastAsia="zh-CN"/>
        </w:rPr>
        <w:t>或</w:t>
      </w:r>
      <w:r>
        <w:rPr>
          <w:rFonts w:ascii="宋体" w:hAnsi="宋体" w:cs="Arial" w:hint="eastAsia"/>
          <w:sz w:val="24"/>
          <w:highlight w:val="white"/>
          <w:lang w:eastAsia="zh-CN"/>
        </w:rPr>
        <w:t>拒绝执行，立即通知基金管理人，并有权向中国证监会报告。</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如基金托管人发现基金管理人依据交易程序已经生效的指令违反法律、行政法规和其他有关规定，或者违反基金合同约定的，应当立即通知基金管理人，由此造成的损失由基金管理人承担。</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基金托管人发现基金管理人有重大违规行为，应及时报告中国证监会，同时通知基金管理人限期纠正，并将纠正结果报告中国证监会。基金管理人无正当理由，拒绝、阻挠基金托管人根据本托管协议规定行使监督权，或采取拖延、欺诈等手段妨碍对方进行有效监督，情节严重或经基金托管人提出警告仍不改正的，基金托管人应报告中国证监会。</w:t>
      </w:r>
      <w:bookmarkStart w:id="21" w:name="_Toc124325888"/>
    </w:p>
    <w:p w:rsidR="00CB176C">
      <w:pPr>
        <w:pStyle w:val="Heading2"/>
        <w:spacing w:before="0" w:after="156" w:afterLines="50" w:line="288" w:lineRule="auto"/>
        <w:jc w:val="center"/>
        <w:rPr>
          <w:rFonts w:ascii="宋体" w:eastAsia="宋体" w:hAnsi="宋体"/>
          <w:sz w:val="30"/>
          <w:lang w:eastAsia="zh-CN"/>
        </w:rPr>
      </w:pPr>
      <w:bookmarkStart w:id="22" w:name="_Toc86649722"/>
      <w:bookmarkStart w:id="23" w:name="_Toc86726439"/>
      <w:bookmarkStart w:id="24" w:name="_Toc110830492"/>
      <w:bookmarkStart w:id="25" w:name="_Toc110761796"/>
      <w:bookmarkStart w:id="26" w:name="_Toc110765660"/>
      <w:bookmarkStart w:id="27" w:name="_Toc86225291"/>
      <w:bookmarkStart w:id="28" w:name="_Toc118212950"/>
      <w:bookmarkStart w:id="29" w:name="_Toc118774803"/>
      <w:bookmarkStart w:id="30" w:name="_Toc86223242"/>
      <w:bookmarkStart w:id="31" w:name="_Toc86727355"/>
      <w:bookmarkStart w:id="32" w:name="_Toc86737929"/>
      <w:bookmarkStart w:id="33" w:name="_Toc89163368"/>
      <w:bookmarkStart w:id="34" w:name="_Toc108512358"/>
      <w:bookmarkStart w:id="35" w:name="_Toc118972648"/>
      <w:bookmarkStart w:id="36" w:name="_Toc119402710"/>
      <w:bookmarkStart w:id="37" w:name="_Toc120435783"/>
      <w:bookmarkStart w:id="38" w:name="_Toc205489765"/>
      <w:r>
        <w:rPr>
          <w:rFonts w:ascii="宋体" w:eastAsia="宋体" w:hAnsi="宋体" w:hint="eastAsia"/>
          <w:sz w:val="30"/>
          <w:highlight w:val="white"/>
          <w:lang w:eastAsia="zh-CN"/>
        </w:rPr>
        <w:t>四、基金管理人对基金托管人的业务核查</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CB176C">
      <w:pPr>
        <w:snapToGrid w:val="0"/>
        <w:spacing w:after="156" w:afterLines="50" w:line="288" w:lineRule="auto"/>
        <w:ind w:firstLine="480"/>
        <w:rPr>
          <w:rFonts w:ascii="宋体" w:hAnsi="宋体" w:cs="Arial"/>
          <w:sz w:val="24"/>
          <w:lang w:eastAsia="zh-CN"/>
        </w:rPr>
      </w:pPr>
      <w:r>
        <w:rPr>
          <w:rFonts w:ascii="宋体" w:hAnsi="宋体" w:cs="Arial" w:hint="eastAsia"/>
          <w:sz w:val="24"/>
          <w:highlight w:val="white"/>
          <w:lang w:eastAsia="zh-CN"/>
        </w:rPr>
        <w:t>（一）基金管理人对基金托管人履行托管职责情况进行核查，核查事项包括但不限于基金托管人安全保管基金财产、开设基金财产的资金账户、证券账户等投资所需账户、复核基金管理人计算</w:t>
      </w:r>
      <w:r>
        <w:rPr>
          <w:rFonts w:ascii="宋体" w:hAnsi="宋体" w:cs="Arial" w:hint="eastAsia"/>
          <w:sz w:val="24"/>
          <w:highlight w:val="white"/>
          <w:lang w:eastAsia="zh-CN"/>
        </w:rPr>
        <w:t>的基金资产净值和基金份额净值、根据基金管理人指令办理清算交收、相关信息披露和监督基金投资运作等行为。</w:t>
      </w:r>
    </w:p>
    <w:p w:rsidR="00CB176C">
      <w:pPr>
        <w:snapToGrid w:val="0"/>
        <w:spacing w:after="156" w:afterLines="50" w:line="288" w:lineRule="auto"/>
        <w:ind w:firstLine="480"/>
        <w:rPr>
          <w:rFonts w:ascii="宋体" w:hAnsi="宋体" w:cs="Arial"/>
          <w:sz w:val="24"/>
          <w:lang w:eastAsia="zh-CN"/>
        </w:rPr>
      </w:pPr>
      <w:r>
        <w:rPr>
          <w:rFonts w:ascii="宋体" w:hAnsi="宋体" w:cs="Arial" w:hint="eastAsia"/>
          <w:sz w:val="24"/>
          <w:highlight w:val="white"/>
          <w:lang w:eastAsia="zh-CN"/>
        </w:rPr>
        <w:t>（二）基金管理人发现基金托管人擅自挪用基金财产、未对基金财产实行分账管理、未执行或无故延迟执行基金管理人资金划拨指令、泄露基金投资信息等违反《基金法》、基金合同、本托管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w:t>
      </w:r>
      <w:r>
        <w:rPr>
          <w:rFonts w:ascii="宋体" w:hAnsi="宋体" w:cs="Arial" w:hint="eastAsia"/>
          <w:sz w:val="24"/>
          <w:highlight w:val="white"/>
          <w:lang w:eastAsia="zh-CN"/>
        </w:rPr>
        <w:t>托管人改正。基金托管人应积极配合基金管理人的核查行为，包括但不限于：提交相关资料以供基金管理人核查托管财产的完整性和真实性，在规定时间内答复基金管理人并改正。</w:t>
      </w:r>
    </w:p>
    <w:p w:rsidR="00CB176C">
      <w:pPr>
        <w:snapToGrid w:val="0"/>
        <w:spacing w:after="156" w:afterLines="50" w:line="288" w:lineRule="auto"/>
        <w:ind w:firstLine="480"/>
        <w:rPr>
          <w:rFonts w:ascii="宋体" w:hAnsi="宋体" w:cs="Arial"/>
          <w:sz w:val="24"/>
          <w:lang w:eastAsia="zh-CN"/>
        </w:rPr>
      </w:pPr>
      <w:r>
        <w:rPr>
          <w:rFonts w:ascii="宋体" w:hAnsi="宋体" w:cs="Arial" w:hint="eastAsia"/>
          <w:sz w:val="24"/>
          <w:highlight w:val="white"/>
          <w:lang w:eastAsia="zh-CN"/>
        </w:rPr>
        <w:t>（三）基金管理人发现基金托管人有重大违规行为，应及时报告中国证监会，同时通知基金托管人限期纠正，并将纠正结果报告中国证监会。基金托管人无正当理由，拒绝、阻挠对方根据本托管协议规定行使监督权，或采取拖延、欺诈等手段妨碍对方进行有效监督，情节严重或经基金管理人提出警告仍不改正的，基金管理人应报告中国证监会。</w:t>
      </w:r>
    </w:p>
    <w:p w:rsidR="00CB176C">
      <w:pPr>
        <w:pStyle w:val="Heading2"/>
        <w:spacing w:before="0" w:after="156" w:afterLines="50" w:line="288" w:lineRule="auto"/>
        <w:jc w:val="center"/>
        <w:rPr>
          <w:rFonts w:ascii="宋体" w:eastAsia="宋体" w:hAnsi="宋体"/>
          <w:sz w:val="30"/>
          <w:lang w:eastAsia="zh-CN"/>
        </w:rPr>
      </w:pPr>
      <w:bookmarkStart w:id="39" w:name="_Toc84234388"/>
      <w:bookmarkStart w:id="40" w:name="_Toc84234435"/>
      <w:bookmarkStart w:id="41" w:name="_Toc86204789"/>
      <w:bookmarkStart w:id="42" w:name="_Toc86223243"/>
      <w:bookmarkStart w:id="43" w:name="_Toc86225292"/>
      <w:bookmarkStart w:id="44" w:name="_Toc86649723"/>
      <w:bookmarkStart w:id="45" w:name="_Toc86726440"/>
      <w:bookmarkStart w:id="46" w:name="_Toc86727356"/>
      <w:bookmarkStart w:id="47" w:name="_Toc86737930"/>
      <w:bookmarkStart w:id="48" w:name="_Toc89163369"/>
      <w:bookmarkStart w:id="49" w:name="_Toc108512359"/>
      <w:bookmarkStart w:id="50" w:name="_Toc110761797"/>
      <w:bookmarkStart w:id="51" w:name="_Toc124325889"/>
      <w:bookmarkStart w:id="52" w:name="_Toc84133786"/>
      <w:bookmarkStart w:id="53" w:name="_Toc110765661"/>
      <w:bookmarkStart w:id="54" w:name="_Toc110830493"/>
      <w:bookmarkStart w:id="55" w:name="_Toc118212951"/>
      <w:bookmarkStart w:id="56" w:name="_Toc118774804"/>
      <w:bookmarkStart w:id="57" w:name="_Toc118972649"/>
      <w:bookmarkStart w:id="58" w:name="_Toc119402711"/>
      <w:bookmarkStart w:id="59" w:name="_Toc120435784"/>
      <w:bookmarkStart w:id="60" w:name="_Toc205489766"/>
      <w:r>
        <w:rPr>
          <w:rFonts w:ascii="宋体" w:eastAsia="宋体" w:hAnsi="宋体" w:hint="eastAsia"/>
          <w:sz w:val="30"/>
          <w:highlight w:val="white"/>
          <w:lang w:eastAsia="zh-CN"/>
        </w:rPr>
        <w:t>五、基金财产的保管</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CB176C">
      <w:pPr>
        <w:snapToGrid w:val="0"/>
        <w:spacing w:after="156" w:afterLines="50" w:line="288" w:lineRule="auto"/>
        <w:ind w:firstLine="480"/>
        <w:rPr>
          <w:rFonts w:ascii="宋体" w:hAnsi="宋体" w:cs="Arial"/>
          <w:sz w:val="24"/>
          <w:lang w:eastAsia="zh-CN"/>
        </w:rPr>
      </w:pPr>
      <w:r>
        <w:rPr>
          <w:rFonts w:ascii="宋体" w:hAnsi="宋体" w:cs="Arial" w:hint="eastAsia"/>
          <w:sz w:val="24"/>
          <w:highlight w:val="white"/>
          <w:lang w:eastAsia="zh-CN"/>
        </w:rPr>
        <w:t>（一）基金财产保管的原则</w:t>
      </w:r>
    </w:p>
    <w:p w:rsidR="00CB176C">
      <w:pPr>
        <w:snapToGrid w:val="0"/>
        <w:spacing w:after="156" w:afterLines="50" w:line="288" w:lineRule="auto"/>
        <w:ind w:firstLine="480"/>
        <w:rPr>
          <w:rFonts w:ascii="宋体" w:hAnsi="宋体" w:cs="Arial"/>
          <w:sz w:val="24"/>
          <w:lang w:eastAsia="zh-CN"/>
        </w:rPr>
      </w:pPr>
      <w:r>
        <w:rPr>
          <w:rFonts w:ascii="宋体" w:hAnsi="宋体" w:cs="Arial" w:hint="eastAsia"/>
          <w:sz w:val="24"/>
          <w:highlight w:val="white"/>
          <w:lang w:eastAsia="zh-CN"/>
        </w:rPr>
        <w:t>1.</w:t>
      </w:r>
      <w:r>
        <w:rPr>
          <w:rFonts w:ascii="宋体" w:hAnsi="宋体" w:cs="Arial" w:hint="eastAsia"/>
          <w:sz w:val="24"/>
          <w:highlight w:val="white"/>
          <w:lang w:eastAsia="zh-CN"/>
        </w:rPr>
        <w:t>基金财产应独立于基金管理人、基金托管人、证券经纪机构的固有财产。</w:t>
      </w:r>
    </w:p>
    <w:p w:rsidR="00CB176C">
      <w:pPr>
        <w:snapToGrid w:val="0"/>
        <w:spacing w:after="156" w:afterLines="50" w:line="288" w:lineRule="auto"/>
        <w:ind w:firstLine="480"/>
        <w:rPr>
          <w:rFonts w:ascii="宋体" w:hAnsi="宋体" w:cs="Arial"/>
          <w:sz w:val="24"/>
          <w:lang w:eastAsia="zh-CN"/>
        </w:rPr>
      </w:pPr>
      <w:r>
        <w:rPr>
          <w:rFonts w:ascii="宋体" w:hAnsi="宋体" w:cs="Arial" w:hint="eastAsia"/>
          <w:sz w:val="24"/>
          <w:highlight w:val="white"/>
          <w:lang w:eastAsia="zh-CN"/>
        </w:rPr>
        <w:t>2.</w:t>
      </w:r>
      <w:r>
        <w:rPr>
          <w:rFonts w:ascii="宋体" w:hAnsi="宋体" w:cs="Arial" w:hint="eastAsia"/>
          <w:sz w:val="24"/>
          <w:highlight w:val="white"/>
          <w:lang w:eastAsia="zh-CN"/>
        </w:rPr>
        <w:t>基金托管人应安全保管基金财产。</w:t>
      </w:r>
    </w:p>
    <w:p w:rsidR="00CB176C">
      <w:pPr>
        <w:snapToGrid w:val="0"/>
        <w:spacing w:after="156" w:afterLines="50" w:line="288" w:lineRule="auto"/>
        <w:ind w:firstLine="480"/>
        <w:rPr>
          <w:rFonts w:ascii="宋体" w:hAnsi="宋体" w:cs="Arial"/>
          <w:sz w:val="24"/>
          <w:lang w:eastAsia="zh-CN"/>
        </w:rPr>
      </w:pPr>
      <w:r>
        <w:rPr>
          <w:rFonts w:ascii="宋体" w:hAnsi="宋体" w:cs="Arial" w:hint="eastAsia"/>
          <w:sz w:val="24"/>
          <w:highlight w:val="white"/>
          <w:lang w:eastAsia="zh-CN"/>
        </w:rPr>
        <w:t>3.</w:t>
      </w:r>
      <w:r>
        <w:rPr>
          <w:rFonts w:ascii="宋体" w:hAnsi="宋体" w:cs="Arial" w:hint="eastAsia"/>
          <w:sz w:val="24"/>
          <w:highlight w:val="white"/>
          <w:lang w:eastAsia="zh-CN"/>
        </w:rPr>
        <w:t>基金托管人按照规定在基金托管人处开设基金财产的基金资金账户（即托管账户，又称“托管资金账户”）、证券账户等投资所需账户。</w:t>
      </w:r>
    </w:p>
    <w:p w:rsidR="00CB176C">
      <w:pPr>
        <w:snapToGrid w:val="0"/>
        <w:spacing w:after="156" w:afterLines="50" w:line="288" w:lineRule="auto"/>
        <w:ind w:firstLine="480"/>
        <w:rPr>
          <w:rFonts w:ascii="宋体" w:hAnsi="宋体" w:cs="Arial"/>
          <w:sz w:val="24"/>
          <w:lang w:eastAsia="zh-CN"/>
        </w:rPr>
      </w:pPr>
      <w:r>
        <w:rPr>
          <w:rFonts w:ascii="宋体" w:hAnsi="宋体" w:cs="Arial" w:hint="eastAsia"/>
          <w:sz w:val="24"/>
          <w:highlight w:val="white"/>
          <w:lang w:eastAsia="zh-CN"/>
        </w:rPr>
        <w:t>4.</w:t>
      </w:r>
      <w:r>
        <w:rPr>
          <w:rFonts w:ascii="宋体" w:hAnsi="宋体" w:cs="Arial" w:hint="eastAsia"/>
          <w:sz w:val="24"/>
          <w:highlight w:val="white"/>
          <w:lang w:eastAsia="zh-CN"/>
        </w:rPr>
        <w:t>基金托管人对所托管的不同基金财产分别设置账户，确保基金财产的完整与独立。</w:t>
      </w:r>
    </w:p>
    <w:p w:rsidR="00CB176C">
      <w:pPr>
        <w:snapToGrid w:val="0"/>
        <w:spacing w:after="156" w:afterLines="50" w:line="288" w:lineRule="auto"/>
        <w:ind w:firstLine="480"/>
        <w:rPr>
          <w:rFonts w:ascii="宋体" w:hAnsi="宋体" w:cs="Arial"/>
          <w:sz w:val="24"/>
          <w:lang w:eastAsia="zh-CN"/>
        </w:rPr>
      </w:pPr>
      <w:r>
        <w:rPr>
          <w:rFonts w:ascii="宋体" w:hAnsi="宋体" w:cs="Arial" w:hint="eastAsia"/>
          <w:sz w:val="24"/>
          <w:highlight w:val="white"/>
          <w:lang w:eastAsia="zh-CN"/>
        </w:rPr>
        <w:t>5.</w:t>
      </w:r>
      <w:r>
        <w:rPr>
          <w:rFonts w:ascii="宋体" w:hAnsi="宋体" w:cs="Arial" w:hint="eastAsia"/>
          <w:sz w:val="24"/>
          <w:highlight w:val="white"/>
          <w:lang w:eastAsia="zh-CN"/>
        </w:rPr>
        <w:t>基金托管人按照基金合同和本托管协议的约定保管基金财产，如有特殊情况双方可另行协商解决。基金托管人未经基金管理人的指令，不得自行运用、处分、分配本基金的任何资产。</w:t>
      </w:r>
    </w:p>
    <w:p w:rsidR="00CB176C">
      <w:pPr>
        <w:snapToGrid w:val="0"/>
        <w:spacing w:after="156" w:afterLines="50" w:line="288" w:lineRule="auto"/>
        <w:ind w:firstLine="480"/>
        <w:rPr>
          <w:rFonts w:ascii="宋体" w:hAnsi="宋体" w:cs="Arial"/>
          <w:sz w:val="24"/>
          <w:lang w:eastAsia="zh-CN"/>
        </w:rPr>
      </w:pPr>
      <w:r>
        <w:rPr>
          <w:rFonts w:ascii="宋体" w:hAnsi="宋体" w:cs="Arial" w:hint="eastAsia"/>
          <w:sz w:val="24"/>
          <w:highlight w:val="white"/>
          <w:lang w:eastAsia="zh-CN"/>
        </w:rPr>
        <w:t>6.</w:t>
      </w:r>
      <w:r>
        <w:rPr>
          <w:rFonts w:ascii="宋体" w:hAnsi="宋体" w:cs="Arial" w:hint="eastAsia"/>
          <w:sz w:val="24"/>
          <w:highlight w:val="white"/>
          <w:lang w:eastAsia="zh-CN"/>
        </w:rPr>
        <w:t>基金托管人根据基金管理人的指令，</w:t>
      </w:r>
      <w:r>
        <w:rPr>
          <w:rFonts w:ascii="宋体" w:hAnsi="宋体" w:cs="Arial" w:hint="eastAsia"/>
          <w:sz w:val="24"/>
          <w:highlight w:val="white"/>
          <w:lang w:eastAsia="zh-CN"/>
        </w:rPr>
        <w:t>按照基金合同和本托管协议的约定保管基金财产，并按指令进行结算，如有特殊情况双方可另行协商解决。</w:t>
      </w:r>
    </w:p>
    <w:p w:rsidR="00CB176C">
      <w:pPr>
        <w:snapToGrid w:val="0"/>
        <w:spacing w:after="156" w:afterLines="50" w:line="288" w:lineRule="auto"/>
        <w:ind w:firstLine="480"/>
        <w:rPr>
          <w:rFonts w:ascii="宋体" w:hAnsi="宋体" w:cs="Arial"/>
          <w:bCs/>
          <w:sz w:val="24"/>
          <w:lang w:eastAsia="zh-CN"/>
        </w:rPr>
      </w:pPr>
      <w:r>
        <w:rPr>
          <w:rFonts w:ascii="宋体" w:hAnsi="宋体" w:cs="Arial" w:hint="eastAsia"/>
          <w:sz w:val="24"/>
          <w:highlight w:val="white"/>
          <w:lang w:eastAsia="zh-CN"/>
        </w:rPr>
        <w:t>7.</w:t>
      </w:r>
      <w:r>
        <w:rPr>
          <w:rFonts w:ascii="宋体" w:hAnsi="宋体"/>
          <w:bCs/>
          <w:sz w:val="24"/>
          <w:szCs w:val="20"/>
          <w:highlight w:val="white"/>
          <w:lang w:eastAsia="zh-CN"/>
        </w:rPr>
        <w:t xml:space="preserve"> </w:t>
      </w:r>
      <w:bookmarkStart w:id="61" w:name="_Hlk79077332"/>
      <w:r>
        <w:rPr>
          <w:rFonts w:ascii="宋体" w:hAnsi="宋体" w:cs="Arial"/>
          <w:bCs/>
          <w:sz w:val="24"/>
          <w:highlight w:val="white"/>
          <w:lang w:eastAsia="zh-CN"/>
        </w:rPr>
        <w:t>基金管理人、基金托管人因依法解散、被依法撤销或者被依法宣告破产等原因进行清算的，基金财产不属于其清算财产。</w:t>
      </w:r>
      <w:bookmarkStart w:id="62" w:name="_Hlk79077374"/>
      <w:bookmarkEnd w:id="61"/>
      <w:r>
        <w:rPr>
          <w:rFonts w:ascii="宋体" w:hAnsi="宋体" w:cs="Arial" w:hint="eastAsia"/>
          <w:bCs/>
          <w:sz w:val="24"/>
          <w:highlight w:val="white"/>
          <w:lang w:eastAsia="zh-CN"/>
        </w:rPr>
        <w:t>基金托管人应把本基金托管资金账户内的现金作为存款持有，并且该等现金在基金托管人的账簿和记录中应与基金托管人的自有现金分开记录。</w:t>
      </w:r>
      <w:bookmarkEnd w:id="62"/>
    </w:p>
    <w:p w:rsidR="00CB176C">
      <w:pPr>
        <w:snapToGrid w:val="0"/>
        <w:spacing w:after="156" w:afterLines="50" w:line="288" w:lineRule="auto"/>
        <w:ind w:firstLine="480"/>
        <w:rPr>
          <w:rFonts w:ascii="宋体" w:hAnsi="宋体" w:cs="Arial"/>
          <w:sz w:val="24"/>
          <w:lang w:eastAsia="zh-CN"/>
        </w:rPr>
      </w:pPr>
      <w:r>
        <w:rPr>
          <w:rFonts w:ascii="宋体" w:hAnsi="宋体" w:cs="Arial" w:hint="eastAsia"/>
          <w:sz w:val="24"/>
          <w:highlight w:val="white"/>
          <w:lang w:eastAsia="zh-CN"/>
        </w:rPr>
        <w:t>8.</w:t>
      </w:r>
      <w:r>
        <w:rPr>
          <w:rFonts w:ascii="宋体" w:hAnsi="宋体" w:cs="Arial" w:hint="eastAsia"/>
          <w:sz w:val="24"/>
          <w:highlight w:val="white"/>
          <w:lang w:eastAsia="zh-CN"/>
        </w:rPr>
        <w:t>对于因为基金投资产生的应收资产，</w:t>
      </w:r>
      <w:r>
        <w:rPr>
          <w:rFonts w:ascii="宋体" w:hAnsi="宋体" w:cs="宋体" w:hint="eastAsia"/>
          <w:sz w:val="24"/>
          <w:highlight w:val="white"/>
          <w:lang w:eastAsia="zh-CN"/>
        </w:rPr>
        <w:t>如基金托管人无法从公开信息或基金管理人提供的书面资料中获取到账日期信息的，</w:t>
      </w:r>
      <w:r>
        <w:rPr>
          <w:rFonts w:ascii="宋体" w:hAnsi="宋体" w:cs="Arial" w:hint="eastAsia"/>
          <w:sz w:val="24"/>
          <w:highlight w:val="white"/>
          <w:lang w:eastAsia="zh-CN"/>
        </w:rPr>
        <w:t>应由基金管理人负责与有关当事人确定到账日期并通知基金托管人，到账日</w:t>
      </w:r>
      <w:r>
        <w:rPr>
          <w:rFonts w:ascii="宋体" w:hAnsi="宋体" w:cs="Arial" w:hint="eastAsia"/>
          <w:sz w:val="24"/>
          <w:highlight w:val="white"/>
          <w:lang w:eastAsia="zh-CN"/>
        </w:rPr>
        <w:t>基金财产没有到达基金账户的，基金托管人应及时通知基金管理人采取措施进行催收。由此给基金财产造成损失的，基金管理人应负责向有关当事人追偿基金财产的损失，基金托管人对此不承担任何责任。</w:t>
      </w:r>
    </w:p>
    <w:p w:rsidR="00CB176C">
      <w:pPr>
        <w:snapToGrid w:val="0"/>
        <w:spacing w:after="156" w:afterLines="50" w:line="288" w:lineRule="auto"/>
        <w:ind w:firstLine="480"/>
        <w:rPr>
          <w:rFonts w:ascii="宋体" w:hAnsi="宋体" w:cs="Arial"/>
          <w:sz w:val="24"/>
          <w:lang w:eastAsia="zh-CN"/>
        </w:rPr>
      </w:pPr>
      <w:r>
        <w:rPr>
          <w:rFonts w:ascii="宋体" w:hAnsi="宋体" w:cs="Arial" w:hint="eastAsia"/>
          <w:sz w:val="24"/>
          <w:highlight w:val="white"/>
          <w:lang w:eastAsia="zh-CN"/>
        </w:rPr>
        <w:t>（二）基金募集期间及募集资金的验资</w:t>
      </w:r>
    </w:p>
    <w:p w:rsidR="00CB176C">
      <w:pPr>
        <w:snapToGrid w:val="0"/>
        <w:spacing w:after="156" w:afterLines="50" w:line="288" w:lineRule="auto"/>
        <w:ind w:firstLine="480"/>
        <w:rPr>
          <w:rFonts w:ascii="宋体" w:hAnsi="宋体" w:cs="Arial"/>
          <w:sz w:val="24"/>
          <w:lang w:eastAsia="zh-CN"/>
        </w:rPr>
      </w:pPr>
      <w:r>
        <w:rPr>
          <w:rFonts w:ascii="宋体" w:hAnsi="宋体" w:cs="Arial" w:hint="eastAsia"/>
          <w:sz w:val="24"/>
          <w:highlight w:val="white"/>
          <w:lang w:eastAsia="zh-CN"/>
        </w:rPr>
        <w:t>1.</w:t>
      </w:r>
      <w:r>
        <w:rPr>
          <w:rFonts w:ascii="宋体" w:hAnsi="宋体" w:cs="Arial" w:hint="eastAsia"/>
          <w:sz w:val="24"/>
          <w:highlight w:val="white"/>
          <w:lang w:eastAsia="zh-CN"/>
        </w:rPr>
        <w:t>基金募集期间募集的资金应存于开立的“基金募集专户”。</w:t>
      </w:r>
    </w:p>
    <w:p w:rsidR="00CB176C">
      <w:pPr>
        <w:snapToGrid w:val="0"/>
        <w:spacing w:after="156" w:afterLines="50" w:line="288" w:lineRule="auto"/>
        <w:ind w:firstLine="480"/>
        <w:rPr>
          <w:rFonts w:ascii="宋体" w:hAnsi="宋体" w:cs="Arial"/>
          <w:sz w:val="24"/>
          <w:lang w:eastAsia="zh-CN"/>
        </w:rPr>
      </w:pPr>
      <w:r>
        <w:rPr>
          <w:rFonts w:ascii="宋体" w:hAnsi="宋体" w:cs="Arial" w:hint="eastAsia"/>
          <w:sz w:val="24"/>
          <w:highlight w:val="white"/>
          <w:lang w:eastAsia="zh-CN"/>
        </w:rPr>
        <w:t>2.</w:t>
      </w:r>
      <w:r>
        <w:rPr>
          <w:rFonts w:ascii="宋体" w:hAnsi="宋体" w:cs="Arial" w:hint="eastAsia"/>
          <w:sz w:val="24"/>
          <w:highlight w:val="white"/>
          <w:lang w:eastAsia="zh-CN"/>
        </w:rPr>
        <w:t>基金募集期限届满或基金停止募集时，募集的基金份额总额、基金募集金额、基金份额持有人人数符合《基金法》、《运作办法》等有关规定后，属于基金财产的全部资金划入基金托管人开立的基金资金账户，同时在规定时间内，聘请符合《证券法》规定的会计师</w:t>
      </w:r>
      <w:r>
        <w:rPr>
          <w:rFonts w:ascii="宋体" w:hAnsi="宋体" w:cs="Arial" w:hint="eastAsia"/>
          <w:sz w:val="24"/>
          <w:highlight w:val="white"/>
          <w:lang w:eastAsia="zh-CN"/>
        </w:rPr>
        <w:t>事务所进行验资，出具验资报告。出具的验资报告由参加验资的</w:t>
      </w:r>
      <w:r>
        <w:rPr>
          <w:rFonts w:ascii="宋体" w:hAnsi="宋体" w:cs="Arial" w:hint="eastAsia"/>
          <w:sz w:val="24"/>
          <w:highlight w:val="white"/>
          <w:lang w:eastAsia="zh-CN"/>
        </w:rPr>
        <w:t>2</w:t>
      </w:r>
      <w:r>
        <w:rPr>
          <w:rFonts w:ascii="宋体" w:hAnsi="宋体" w:cs="Arial" w:hint="eastAsia"/>
          <w:sz w:val="24"/>
          <w:highlight w:val="white"/>
          <w:lang w:eastAsia="zh-CN"/>
        </w:rPr>
        <w:t>名或</w:t>
      </w:r>
      <w:r>
        <w:rPr>
          <w:rFonts w:ascii="宋体" w:hAnsi="宋体" w:cs="Arial" w:hint="eastAsia"/>
          <w:sz w:val="24"/>
          <w:highlight w:val="white"/>
          <w:lang w:eastAsia="zh-CN"/>
        </w:rPr>
        <w:t>2</w:t>
      </w:r>
      <w:r>
        <w:rPr>
          <w:rFonts w:ascii="宋体" w:hAnsi="宋体" w:cs="Arial" w:hint="eastAsia"/>
          <w:sz w:val="24"/>
          <w:highlight w:val="white"/>
          <w:lang w:eastAsia="zh-CN"/>
        </w:rPr>
        <w:t>名以上中国注册会计师签字方为有效。</w:t>
      </w:r>
    </w:p>
    <w:p w:rsidR="00CB176C">
      <w:pPr>
        <w:snapToGrid w:val="0"/>
        <w:spacing w:after="156" w:afterLines="50" w:line="288" w:lineRule="auto"/>
        <w:ind w:firstLine="480"/>
        <w:rPr>
          <w:rFonts w:ascii="宋体" w:hAnsi="宋体" w:cs="Arial"/>
          <w:sz w:val="24"/>
          <w:lang w:eastAsia="zh-CN"/>
        </w:rPr>
      </w:pPr>
      <w:r>
        <w:rPr>
          <w:rFonts w:ascii="宋体" w:hAnsi="宋体" w:cs="Arial" w:hint="eastAsia"/>
          <w:sz w:val="24"/>
          <w:highlight w:val="white"/>
          <w:lang w:eastAsia="zh-CN"/>
        </w:rPr>
        <w:t>3.</w:t>
      </w:r>
      <w:r>
        <w:rPr>
          <w:rFonts w:ascii="宋体" w:hAnsi="宋体" w:cs="Arial" w:hint="eastAsia"/>
          <w:sz w:val="24"/>
          <w:highlight w:val="white"/>
          <w:lang w:eastAsia="zh-CN"/>
        </w:rPr>
        <w:t>若基金募集期限届满，未满足基金备案条件，由基金管理人按规定办理退款等事宜。</w:t>
      </w:r>
    </w:p>
    <w:p w:rsidR="00CB176C">
      <w:pPr>
        <w:snapToGrid w:val="0"/>
        <w:spacing w:after="156" w:afterLines="50" w:line="288" w:lineRule="auto"/>
        <w:ind w:firstLine="480"/>
        <w:rPr>
          <w:rFonts w:ascii="宋体" w:hAnsi="宋体" w:cs="Arial"/>
          <w:sz w:val="24"/>
          <w:lang w:eastAsia="zh-CN"/>
        </w:rPr>
      </w:pPr>
      <w:r>
        <w:rPr>
          <w:rFonts w:ascii="宋体" w:hAnsi="宋体" w:cs="Arial" w:hint="eastAsia"/>
          <w:sz w:val="24"/>
          <w:highlight w:val="white"/>
          <w:lang w:eastAsia="zh-CN"/>
        </w:rPr>
        <w:t>（三）基金资金账户的开立和管理</w:t>
      </w:r>
    </w:p>
    <w:p w:rsidR="00CB176C">
      <w:pPr>
        <w:snapToGrid w:val="0"/>
        <w:spacing w:after="156" w:afterLines="50" w:line="288" w:lineRule="auto"/>
        <w:ind w:firstLine="480"/>
        <w:rPr>
          <w:rFonts w:ascii="宋体" w:hAnsi="宋体" w:cs="Arial"/>
          <w:sz w:val="24"/>
          <w:lang w:eastAsia="zh-CN"/>
        </w:rPr>
      </w:pPr>
      <w:r>
        <w:rPr>
          <w:rFonts w:ascii="宋体" w:hAnsi="宋体" w:cs="Arial" w:hint="eastAsia"/>
          <w:sz w:val="24"/>
          <w:highlight w:val="white"/>
          <w:lang w:eastAsia="zh-CN"/>
        </w:rPr>
        <w:t>1</w:t>
      </w:r>
      <w:r>
        <w:rPr>
          <w:rFonts w:ascii="宋体" w:hAnsi="宋体" w:cs="Arial"/>
          <w:sz w:val="24"/>
          <w:highlight w:val="white"/>
          <w:lang w:eastAsia="zh-CN"/>
        </w:rPr>
        <w:t>.</w:t>
      </w:r>
      <w:r>
        <w:rPr>
          <w:rFonts w:ascii="宋体" w:hAnsi="宋体" w:cs="Arial" w:hint="eastAsia"/>
          <w:sz w:val="24"/>
          <w:highlight w:val="white"/>
          <w:lang w:eastAsia="zh-CN"/>
        </w:rPr>
        <w:t>基金托管人以本基金名义或法律法规要求的其他命名方式开设基金资金账户，保管本基金的资金。该账户的开设和管理由基金托管人负责，基金管理人应配合基金托管人办理开立账户事宜并提供相关资料。本基金</w:t>
      </w:r>
      <w:r>
        <w:rPr>
          <w:rFonts w:ascii="宋体" w:hAnsi="Calibri" w:hint="eastAsia"/>
          <w:sz w:val="24"/>
          <w:highlight w:val="white"/>
          <w:lang w:eastAsia="zh-CN"/>
        </w:rPr>
        <w:t>除证券交易所场内交易</w:t>
      </w:r>
      <w:r>
        <w:rPr>
          <w:rFonts w:ascii="宋体" w:hAnsi="宋体" w:cs="宋体"/>
          <w:color w:val="000000"/>
          <w:sz w:val="24"/>
          <w:highlight w:val="white"/>
          <w:lang w:eastAsia="zh-CN"/>
        </w:rPr>
        <w:t>所涉及的资金结算业务</w:t>
      </w:r>
      <w:r>
        <w:rPr>
          <w:rFonts w:ascii="宋体" w:hAnsi="Calibri" w:hint="eastAsia"/>
          <w:sz w:val="24"/>
          <w:highlight w:val="white"/>
          <w:lang w:eastAsia="zh-CN"/>
        </w:rPr>
        <w:t>以外</w:t>
      </w:r>
      <w:r>
        <w:rPr>
          <w:rFonts w:ascii="宋体" w:hAnsi="宋体" w:cs="Arial" w:hint="eastAsia"/>
          <w:sz w:val="24"/>
          <w:highlight w:val="white"/>
          <w:lang w:eastAsia="zh-CN"/>
        </w:rPr>
        <w:t>的一切货币收支活动，包括但不限于投资、申赎款项、支付基金收益均需通</w:t>
      </w:r>
      <w:r>
        <w:rPr>
          <w:rFonts w:ascii="宋体" w:hAnsi="宋体" w:cs="Arial" w:hint="eastAsia"/>
          <w:sz w:val="24"/>
          <w:highlight w:val="white"/>
          <w:lang w:eastAsia="zh-CN"/>
        </w:rPr>
        <w:t>过该账户进行。</w:t>
      </w:r>
    </w:p>
    <w:p w:rsidR="00CB176C">
      <w:pPr>
        <w:snapToGrid w:val="0"/>
        <w:spacing w:after="156" w:afterLines="50" w:line="288" w:lineRule="auto"/>
        <w:ind w:firstLine="480"/>
        <w:rPr>
          <w:rFonts w:ascii="宋体" w:hAnsi="宋体" w:cs="Arial"/>
          <w:sz w:val="24"/>
          <w:lang w:eastAsia="zh-CN"/>
        </w:rPr>
      </w:pPr>
      <w:r>
        <w:rPr>
          <w:rFonts w:ascii="宋体" w:hAnsi="宋体" w:cs="Arial" w:hint="eastAsia"/>
          <w:sz w:val="24"/>
          <w:highlight w:val="white"/>
          <w:lang w:eastAsia="zh-CN"/>
        </w:rPr>
        <w:t>2</w:t>
      </w:r>
      <w:r>
        <w:rPr>
          <w:rFonts w:ascii="宋体" w:hAnsi="宋体" w:cs="Arial"/>
          <w:sz w:val="24"/>
          <w:highlight w:val="white"/>
          <w:lang w:eastAsia="zh-CN"/>
        </w:rPr>
        <w:t xml:space="preserve">. </w:t>
      </w:r>
      <w:r>
        <w:rPr>
          <w:rFonts w:ascii="宋体" w:hAnsi="宋体" w:cs="Arial" w:hint="eastAsia"/>
          <w:sz w:val="24"/>
          <w:highlight w:val="white"/>
          <w:lang w:eastAsia="zh-CN"/>
        </w:rPr>
        <w:t>任何投资均应指定托管账户为资金收付的指定账户，除非经基金托管人同意，基金管理人不得擅自变更、挂失该等资金收付指定账户。基金托管账户不得购买支票、本票、汇票等具有对外支付功能的有价凭证，该账户的资金划拨应由基金托管人根据基金管理人有效的划款指令办理。托管账户的开立和使用，仅限于满足开展托管业务的需要。基金财产存放于基金托管人开立的基金资金账户中的存款利率以基金托管人提供的开户通知书为准。</w:t>
      </w:r>
    </w:p>
    <w:p w:rsidR="00CB176C">
      <w:pPr>
        <w:snapToGrid w:val="0"/>
        <w:spacing w:after="156" w:afterLines="50" w:line="288" w:lineRule="auto"/>
        <w:ind w:firstLine="480"/>
        <w:rPr>
          <w:rFonts w:ascii="宋体" w:hAnsi="宋体" w:cs="Arial"/>
          <w:sz w:val="24"/>
          <w:lang w:eastAsia="zh-CN"/>
        </w:rPr>
      </w:pPr>
      <w:bookmarkStart w:id="63" w:name="_Hlk79077426"/>
      <w:r>
        <w:rPr>
          <w:rFonts w:ascii="宋体" w:hAnsi="宋体" w:cs="Arial"/>
          <w:sz w:val="24"/>
          <w:highlight w:val="white"/>
          <w:lang w:eastAsia="zh-CN"/>
        </w:rPr>
        <w:t>3</w:t>
      </w:r>
      <w:r>
        <w:rPr>
          <w:rFonts w:ascii="宋体" w:hAnsi="宋体" w:cs="Arial" w:hint="eastAsia"/>
          <w:sz w:val="24"/>
          <w:highlight w:val="white"/>
          <w:lang w:eastAsia="zh-CN"/>
        </w:rPr>
        <w:t>.</w:t>
      </w:r>
      <w:r>
        <w:rPr>
          <w:rFonts w:ascii="宋体" w:hAnsi="宋体" w:cs="Arial" w:hint="eastAsia"/>
          <w:sz w:val="24"/>
          <w:highlight w:val="white"/>
          <w:lang w:eastAsia="zh-CN"/>
        </w:rPr>
        <w:t>任何托管资金账户应适用不时更新的基金托管人的账户标准条款和条件</w:t>
      </w:r>
      <w:r>
        <w:rPr>
          <w:rFonts w:ascii="宋体" w:hAnsi="宋体" w:cs="Arial" w:hint="eastAsia"/>
          <w:sz w:val="24"/>
          <w:highlight w:val="white"/>
          <w:lang w:eastAsia="zh-CN"/>
        </w:rPr>
        <w:t>(</w:t>
      </w:r>
      <w:r>
        <w:rPr>
          <w:rFonts w:ascii="宋体" w:hAnsi="宋体" w:cs="Arial" w:hint="eastAsia"/>
          <w:sz w:val="24"/>
          <w:highlight w:val="white"/>
          <w:lang w:eastAsia="zh-CN"/>
        </w:rPr>
        <w:t>“账户条款”</w:t>
      </w:r>
      <w:r>
        <w:rPr>
          <w:rFonts w:ascii="宋体" w:hAnsi="宋体" w:cs="Arial" w:hint="eastAsia"/>
          <w:sz w:val="24"/>
          <w:highlight w:val="white"/>
          <w:lang w:eastAsia="zh-CN"/>
        </w:rPr>
        <w:t xml:space="preserve">), </w:t>
      </w:r>
      <w:r>
        <w:rPr>
          <w:rFonts w:ascii="宋体" w:hAnsi="宋体" w:cs="Arial" w:hint="eastAsia"/>
          <w:sz w:val="24"/>
          <w:highlight w:val="white"/>
          <w:lang w:eastAsia="zh-CN"/>
        </w:rPr>
        <w:t>并根据该条款和</w:t>
      </w:r>
      <w:r>
        <w:rPr>
          <w:rFonts w:ascii="宋体" w:hAnsi="宋体" w:cs="Arial" w:hint="eastAsia"/>
          <w:sz w:val="24"/>
          <w:highlight w:val="white"/>
          <w:lang w:eastAsia="zh-CN"/>
        </w:rPr>
        <w:t>条件解释。账户条款应适用于托管资金账户</w:t>
      </w:r>
      <w:r>
        <w:rPr>
          <w:rFonts w:ascii="宋体" w:hAnsi="宋体" w:cs="Arial" w:hint="eastAsia"/>
          <w:sz w:val="24"/>
          <w:highlight w:val="white"/>
          <w:lang w:eastAsia="zh-CN"/>
        </w:rPr>
        <w:t xml:space="preserve">, </w:t>
      </w:r>
      <w:r>
        <w:rPr>
          <w:rFonts w:ascii="宋体" w:hAnsi="宋体" w:cs="Arial" w:hint="eastAsia"/>
          <w:sz w:val="24"/>
          <w:highlight w:val="white"/>
          <w:lang w:eastAsia="zh-CN"/>
        </w:rPr>
        <w:t>但不适用于根据本托管协议提供的服务的其他方面。如本托管协议的条款与基金托管人的托管资金账户条款在服务方面有任何冲突</w:t>
      </w:r>
      <w:r>
        <w:rPr>
          <w:rFonts w:ascii="宋体" w:hAnsi="宋体" w:cs="Arial" w:hint="eastAsia"/>
          <w:sz w:val="24"/>
          <w:highlight w:val="white"/>
          <w:lang w:eastAsia="zh-CN"/>
        </w:rPr>
        <w:t xml:space="preserve">, </w:t>
      </w:r>
      <w:r>
        <w:rPr>
          <w:rFonts w:ascii="宋体" w:hAnsi="宋体" w:cs="Arial" w:hint="eastAsia"/>
          <w:sz w:val="24"/>
          <w:highlight w:val="white"/>
          <w:lang w:eastAsia="zh-CN"/>
        </w:rPr>
        <w:t>应以本托管协议的条款为准。</w:t>
      </w:r>
      <w:bookmarkEnd w:id="63"/>
    </w:p>
    <w:p w:rsidR="00CB176C">
      <w:pPr>
        <w:snapToGrid w:val="0"/>
        <w:spacing w:line="300" w:lineRule="auto"/>
        <w:ind w:firstLine="480" w:firstLineChars="200"/>
        <w:rPr>
          <w:rFonts w:ascii="宋体" w:hAnsi="宋体" w:cs="Arial"/>
          <w:sz w:val="24"/>
          <w:lang w:eastAsia="zh-CN"/>
        </w:rPr>
      </w:pPr>
      <w:r>
        <w:rPr>
          <w:rFonts w:ascii="宋体" w:hAnsi="宋体" w:cs="Arial" w:hint="eastAsia"/>
          <w:sz w:val="24"/>
          <w:highlight w:val="white"/>
          <w:lang w:eastAsia="zh-CN"/>
        </w:rPr>
        <w:t>（四）交易所证券账户、证券资金账户和第三方存管银行的银行结算账户的开立和管理</w:t>
      </w:r>
    </w:p>
    <w:p w:rsidR="00CB176C">
      <w:pPr>
        <w:snapToGrid w:val="0"/>
        <w:spacing w:line="300" w:lineRule="auto"/>
        <w:ind w:firstLine="480" w:firstLineChars="200"/>
        <w:rPr>
          <w:rFonts w:ascii="宋体" w:hAnsi="宋体" w:cs="Arial"/>
          <w:sz w:val="24"/>
          <w:lang w:eastAsia="zh-CN"/>
        </w:rPr>
      </w:pPr>
      <w:r>
        <w:rPr>
          <w:rFonts w:ascii="宋体" w:hAnsi="宋体" w:cs="Arial" w:hint="eastAsia"/>
          <w:sz w:val="24"/>
          <w:highlight w:val="white"/>
          <w:lang w:eastAsia="zh-CN"/>
        </w:rPr>
        <w:t>1</w:t>
      </w:r>
      <w:r>
        <w:rPr>
          <w:rFonts w:ascii="宋体" w:hAnsi="宋体" w:cs="Arial"/>
          <w:sz w:val="24"/>
          <w:highlight w:val="white"/>
          <w:lang w:eastAsia="zh-CN"/>
        </w:rPr>
        <w:t>.</w:t>
      </w:r>
      <w:r>
        <w:rPr>
          <w:rFonts w:ascii="宋体" w:hAnsi="宋体" w:cs="Arial" w:hint="eastAsia"/>
          <w:sz w:val="24"/>
          <w:highlight w:val="white"/>
          <w:lang w:eastAsia="zh-CN"/>
        </w:rPr>
        <w:t>根据基金管理人的委托，基金托管人可以本基金的名义或法律法规要求的其他命名方式在中国证券登记结算有限责任公司开设证券账户。基金管理人应配合基金托管人办理开立账户事宜并提供相关资料。基金托管人应及时将证券账户开通信息通知基金管理人。本基金的证券账户的开立和使用，限于满足开展本基金业务的需要。基金管理人、基金托管人不得出借和未经另一方同意擅自使用本基金的证券账户；亦不得使用本基金的证券账户进行本基金业务以外的活动。</w:t>
      </w:r>
    </w:p>
    <w:p w:rsidR="00CB176C">
      <w:pPr>
        <w:snapToGrid w:val="0"/>
        <w:spacing w:line="300" w:lineRule="auto"/>
        <w:ind w:firstLine="480" w:firstLineChars="200"/>
        <w:rPr>
          <w:rFonts w:ascii="宋体" w:hAnsi="宋体" w:cs="Arial"/>
          <w:sz w:val="24"/>
          <w:lang w:eastAsia="zh-CN"/>
        </w:rPr>
      </w:pPr>
      <w:r>
        <w:rPr>
          <w:rFonts w:ascii="宋体" w:hAnsi="宋体" w:cs="Arial" w:hint="eastAsia"/>
          <w:sz w:val="24"/>
          <w:highlight w:val="white"/>
          <w:lang w:eastAsia="zh-CN"/>
        </w:rPr>
        <w:t>2</w:t>
      </w:r>
      <w:r>
        <w:rPr>
          <w:rFonts w:ascii="宋体" w:hAnsi="宋体" w:cs="Arial"/>
          <w:sz w:val="24"/>
          <w:highlight w:val="white"/>
          <w:lang w:eastAsia="zh-CN"/>
        </w:rPr>
        <w:t>.</w:t>
      </w:r>
      <w:r>
        <w:rPr>
          <w:rFonts w:ascii="宋体" w:hAnsi="宋体" w:cs="Arial" w:hint="eastAsia"/>
          <w:sz w:val="24"/>
          <w:highlight w:val="white"/>
          <w:lang w:eastAsia="zh-CN"/>
        </w:rPr>
        <w:t>基金管理人以本基金的名义或法律法规要求的其他命名方式在证券经纪机构处开立证券资金账户，用于</w:t>
      </w:r>
      <w:r>
        <w:rPr>
          <w:rFonts w:ascii="宋体" w:hAnsi="宋体" w:cs="Arial" w:hint="eastAsia"/>
          <w:sz w:val="24"/>
          <w:highlight w:val="white"/>
          <w:lang w:eastAsia="zh-CN"/>
        </w:rPr>
        <w:t>办理本基金在证券交易所进行证券投资所涉及的资金结算业务。基金管理人应将证券资金账户的开户资料（复印件）提交基金托管人。证券资金账户的转账密码应交予基金托管人保存，未经基金托管人同意不得擅自变更或挂失密码。</w:t>
      </w:r>
    </w:p>
    <w:p w:rsidR="00CB176C">
      <w:pPr>
        <w:snapToGrid w:val="0"/>
        <w:spacing w:line="300" w:lineRule="auto"/>
        <w:ind w:firstLine="480" w:firstLineChars="200"/>
        <w:rPr>
          <w:rFonts w:ascii="宋体" w:hAnsi="宋体" w:cs="Arial"/>
          <w:sz w:val="24"/>
          <w:lang w:eastAsia="zh-CN"/>
        </w:rPr>
      </w:pPr>
      <w:r>
        <w:rPr>
          <w:rFonts w:ascii="宋体" w:hAnsi="宋体" w:cs="Arial" w:hint="eastAsia"/>
          <w:sz w:val="24"/>
          <w:highlight w:val="white"/>
          <w:lang w:eastAsia="zh-CN"/>
        </w:rPr>
        <w:t>3</w:t>
      </w:r>
      <w:r>
        <w:rPr>
          <w:rFonts w:ascii="宋体" w:hAnsi="宋体" w:cs="Arial"/>
          <w:sz w:val="24"/>
          <w:highlight w:val="white"/>
          <w:lang w:eastAsia="zh-CN"/>
        </w:rPr>
        <w:t>.</w:t>
      </w:r>
      <w:r>
        <w:rPr>
          <w:rFonts w:ascii="宋体" w:hAnsi="宋体" w:cs="Arial" w:hint="eastAsia"/>
          <w:sz w:val="24"/>
          <w:highlight w:val="white"/>
          <w:lang w:eastAsia="zh-CN"/>
        </w:rPr>
        <w:t>基金托管人在第三方存管银行以本基金名义或法律法规要求的其他命名方式开立银行结算账户，账户预留基金托管人的印鉴，该账户的日常管理和使用（包括网银的使用）由基金托管人负责操作，该账户的资金仅用于由基金托管人向证券资金账户转账（“银转证”），从证券资金账户转出的资金须回到该银行结算账户（“证转银”），并</w:t>
      </w:r>
      <w:r>
        <w:rPr>
          <w:rFonts w:ascii="宋体" w:hAnsi="宋体" w:cs="Arial" w:hint="eastAsia"/>
          <w:sz w:val="24"/>
          <w:highlight w:val="white"/>
          <w:lang w:eastAsia="zh-CN"/>
        </w:rPr>
        <w:t>由基金托管人将该账户的资金划回托管账户的封闭圈操作。</w:t>
      </w:r>
    </w:p>
    <w:p w:rsidR="00CB176C">
      <w:pPr>
        <w:snapToGrid w:val="0"/>
        <w:spacing w:line="300" w:lineRule="auto"/>
        <w:ind w:firstLine="480" w:firstLineChars="200"/>
        <w:rPr>
          <w:rFonts w:ascii="宋体" w:hAnsi="宋体" w:cs="Arial"/>
          <w:sz w:val="24"/>
          <w:lang w:eastAsia="zh-CN"/>
        </w:rPr>
      </w:pPr>
      <w:r>
        <w:rPr>
          <w:rFonts w:ascii="宋体" w:hAnsi="宋体" w:cs="Arial" w:hint="eastAsia"/>
          <w:sz w:val="24"/>
          <w:highlight w:val="white"/>
          <w:lang w:eastAsia="zh-CN"/>
        </w:rPr>
        <w:t>4</w:t>
      </w:r>
      <w:r>
        <w:rPr>
          <w:rFonts w:ascii="宋体" w:hAnsi="宋体" w:cs="Arial"/>
          <w:sz w:val="24"/>
          <w:highlight w:val="white"/>
          <w:lang w:eastAsia="zh-CN"/>
        </w:rPr>
        <w:t>.</w:t>
      </w:r>
      <w:r>
        <w:rPr>
          <w:rFonts w:ascii="宋体" w:hAnsi="宋体" w:cs="Arial" w:hint="eastAsia"/>
          <w:sz w:val="24"/>
          <w:highlight w:val="white"/>
          <w:lang w:eastAsia="zh-CN"/>
        </w:rPr>
        <w:t>本基金参与交易所证券交易的交易结算资金应由第三方存管银行存管。证券交易所的证券交易资金应仅在托管账户、第三方存管银行开立的银行结算账户以及证券资金账户三者之间转账。未经过基金托管人同意，基金管理人不得挂失、变更证券资金账户和第三方存管银行结算账户，或变更两者和托管账户之间的挂接关系。</w:t>
      </w:r>
    </w:p>
    <w:p w:rsidR="00CB176C">
      <w:pPr>
        <w:snapToGrid w:val="0"/>
        <w:spacing w:line="300" w:lineRule="auto"/>
        <w:ind w:firstLine="480" w:firstLineChars="200"/>
        <w:rPr>
          <w:rFonts w:ascii="宋体" w:hAnsi="宋体" w:cs="Arial"/>
          <w:sz w:val="24"/>
          <w:lang w:eastAsia="zh-CN"/>
        </w:rPr>
      </w:pPr>
      <w:r>
        <w:rPr>
          <w:rFonts w:ascii="宋体" w:hAnsi="宋体" w:cs="Arial" w:hint="eastAsia"/>
          <w:sz w:val="24"/>
          <w:highlight w:val="white"/>
          <w:lang w:eastAsia="zh-CN"/>
        </w:rPr>
        <w:t>（五）银行间债券市场账户开立和管理</w:t>
      </w:r>
    </w:p>
    <w:p w:rsidR="00CB176C">
      <w:pPr>
        <w:snapToGrid w:val="0"/>
        <w:spacing w:line="300" w:lineRule="auto"/>
        <w:ind w:firstLine="480" w:firstLineChars="200"/>
        <w:rPr>
          <w:rFonts w:ascii="宋体" w:hAnsi="宋体" w:cs="Arial"/>
          <w:sz w:val="24"/>
          <w:lang w:eastAsia="zh-CN"/>
        </w:rPr>
      </w:pPr>
      <w:r>
        <w:rPr>
          <w:rFonts w:ascii="宋体" w:hAnsi="宋体" w:cs="Arial" w:hint="eastAsia"/>
          <w:sz w:val="24"/>
          <w:highlight w:val="white"/>
          <w:lang w:eastAsia="zh-CN"/>
        </w:rPr>
        <w:t>本基金拟进行银行间市场债券投资前，基金管理人向中国人民银行上海总部办理本基金备案手续，并代理本基金向全国银行间同业拆借中心办理债</w:t>
      </w:r>
      <w:r>
        <w:rPr>
          <w:rFonts w:ascii="宋体" w:hAnsi="宋体" w:cs="Arial" w:hint="eastAsia"/>
          <w:sz w:val="24"/>
          <w:highlight w:val="white"/>
          <w:lang w:eastAsia="zh-CN"/>
        </w:rPr>
        <w:t>券交易联网手续。基金托管人代理本基金向中央国债登记结算有限责任公司、银行间市场清算所股份有限公司申请办理债券账户开立手续。基金管理人、基金托管人在账户开立和联网过程中应相互配合。基金托管人应及时将账户开立信息通知基金管理人，并将账户开设确认资料等复印件送交基金管理人备案，基金托管人保留原件。</w:t>
      </w:r>
    </w:p>
    <w:p w:rsidR="00CB176C">
      <w:pPr>
        <w:snapToGrid w:val="0"/>
        <w:spacing w:line="300" w:lineRule="auto"/>
        <w:ind w:firstLine="480" w:firstLineChars="200"/>
        <w:rPr>
          <w:rFonts w:ascii="宋体" w:hAnsi="宋体" w:cs="Arial"/>
          <w:sz w:val="24"/>
          <w:lang w:eastAsia="zh-CN"/>
        </w:rPr>
      </w:pPr>
      <w:r>
        <w:rPr>
          <w:rFonts w:ascii="宋体" w:hAnsi="宋体" w:cs="Arial" w:hint="eastAsia"/>
          <w:sz w:val="24"/>
          <w:highlight w:val="white"/>
          <w:lang w:eastAsia="zh-CN"/>
        </w:rPr>
        <w:t>基金管理人负责在银行间市场的债券交易，基金托管人负责银行间市场债券的结算。</w:t>
      </w:r>
    </w:p>
    <w:p w:rsidR="00CB176C">
      <w:pPr>
        <w:snapToGrid w:val="0"/>
        <w:spacing w:line="300" w:lineRule="auto"/>
        <w:ind w:firstLine="480" w:firstLineChars="200"/>
        <w:rPr>
          <w:rFonts w:ascii="宋体" w:hAnsi="宋体" w:cs="Arial"/>
          <w:sz w:val="24"/>
          <w:lang w:eastAsia="zh-CN"/>
        </w:rPr>
      </w:pPr>
      <w:r>
        <w:rPr>
          <w:rFonts w:ascii="宋体" w:hAnsi="宋体" w:cs="Arial" w:hint="eastAsia"/>
          <w:sz w:val="24"/>
          <w:highlight w:val="white"/>
          <w:lang w:eastAsia="zh-CN"/>
        </w:rPr>
        <w:t>（六）存款投资账户的开立和管理</w:t>
      </w:r>
    </w:p>
    <w:p w:rsidR="00CB176C">
      <w:pPr>
        <w:snapToGrid w:val="0"/>
        <w:spacing w:line="300" w:lineRule="auto"/>
        <w:ind w:firstLine="480" w:firstLineChars="200"/>
        <w:rPr>
          <w:rFonts w:ascii="宋体" w:hAnsi="宋体" w:cs="Arial"/>
          <w:sz w:val="24"/>
          <w:lang w:eastAsia="zh-CN"/>
        </w:rPr>
      </w:pPr>
      <w:r>
        <w:rPr>
          <w:rFonts w:ascii="宋体" w:hAnsi="宋体" w:cs="Arial" w:hint="eastAsia"/>
          <w:sz w:val="24"/>
          <w:highlight w:val="white"/>
          <w:lang w:eastAsia="zh-CN"/>
        </w:rPr>
        <w:t>本基金开展定期存款、协议存款等银行存款投资前，基金管理人应以本基金名义或法律法规要求的其他命名方式开立银行存款</w:t>
      </w:r>
      <w:r>
        <w:rPr>
          <w:rFonts w:ascii="宋体" w:hAnsi="宋体" w:cs="Arial" w:hint="eastAsia"/>
          <w:sz w:val="24"/>
          <w:highlight w:val="white"/>
          <w:lang w:eastAsia="zh-CN"/>
        </w:rPr>
        <w:t>账户，该账户仅限向托管账户划拨存款本金及利息资金。存款账户开户文件上加盖预留印鉴（须包括基金托管人印章）及基金管理人公章。未经基金托管人同意，不得挂失或变更该等存款账户（包括其存单）。</w:t>
      </w:r>
    </w:p>
    <w:p w:rsidR="00CB176C">
      <w:pPr>
        <w:snapToGrid w:val="0"/>
        <w:spacing w:after="156" w:afterLines="50" w:line="288" w:lineRule="auto"/>
        <w:ind w:firstLine="480"/>
        <w:rPr>
          <w:rFonts w:ascii="宋体" w:hAnsi="宋体" w:cs="Arial"/>
          <w:sz w:val="24"/>
          <w:lang w:eastAsia="zh-CN"/>
        </w:rPr>
      </w:pPr>
      <w:r>
        <w:rPr>
          <w:rFonts w:ascii="宋体" w:hAnsi="宋体" w:cs="Arial" w:hint="eastAsia"/>
          <w:sz w:val="24"/>
          <w:highlight w:val="white"/>
          <w:lang w:eastAsia="zh-CN"/>
        </w:rPr>
        <w:t>本基金所投资银行存款存续期间，基金管理人、基金托管人应当与存款银行建立定期对账机制，确保基金银行存款业务账目及核对的真实、准确。</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（七）与基金财产有关的重大合同的保管</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与基金财产有关的重大合同的签署，由基金管理人负责。由基金管理人代表基金签署的、与基金财产有关的重大合同的原件分别由基金管理人、基金托管人保管。除本托管协议另有</w:t>
      </w:r>
      <w:r>
        <w:rPr>
          <w:rFonts w:ascii="宋体" w:hAnsi="宋体" w:cs="Arial" w:hint="eastAsia"/>
          <w:sz w:val="24"/>
          <w:highlight w:val="white"/>
          <w:lang w:eastAsia="zh-CN"/>
        </w:rPr>
        <w:t>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将重大合同传真给基金托管人，并在三十个工作日内将正本送达基金托管人处。重大合同的保管期限不低于法律法规规定的最低期限。</w:t>
      </w:r>
    </w:p>
    <w:p w:rsidR="00CB176C">
      <w:pPr>
        <w:snapToGrid w:val="0"/>
        <w:spacing w:after="156" w:afterLines="50" w:line="288" w:lineRule="auto"/>
        <w:ind w:firstLine="480" w:firstLineChars="200"/>
        <w:rPr>
          <w:rFonts w:ascii="宋体" w:hAnsi="宋体" w:cs="Arial"/>
          <w:sz w:val="24"/>
          <w:lang w:eastAsia="zh-CN"/>
        </w:rPr>
      </w:pPr>
      <w:bookmarkStart w:id="64" w:name="_Toc124325890"/>
      <w:r>
        <w:rPr>
          <w:rFonts w:ascii="宋体" w:hAnsi="宋体" w:cs="Arial" w:hint="eastAsia"/>
          <w:sz w:val="24"/>
          <w:highlight w:val="white"/>
          <w:lang w:eastAsia="zh-CN"/>
        </w:rPr>
        <w:t>对于无法取得二份以上正本的重大合同，基金管理人应向基金托管人提供合同复印件，并在复印件上加盖</w:t>
      </w:r>
      <w:r>
        <w:rPr>
          <w:sz w:val="24"/>
          <w:highlight w:val="white"/>
          <w:lang w:eastAsia="zh-CN"/>
        </w:rPr>
        <w:t>基金管理人</w:t>
      </w:r>
      <w:r>
        <w:rPr>
          <w:rFonts w:ascii="宋体" w:hAnsi="宋体" w:cs="Arial" w:hint="eastAsia"/>
          <w:sz w:val="24"/>
          <w:highlight w:val="white"/>
          <w:lang w:eastAsia="zh-CN"/>
        </w:rPr>
        <w:t>公章，未经双方协商或未在合同约定范围内，合同原件不得转移。</w:t>
      </w:r>
    </w:p>
    <w:p w:rsidR="00CB176C">
      <w:pPr>
        <w:pStyle w:val="Heading2"/>
        <w:spacing w:before="0" w:after="156" w:afterLines="50" w:line="288" w:lineRule="auto"/>
        <w:jc w:val="center"/>
        <w:rPr>
          <w:rFonts w:ascii="宋体" w:eastAsia="宋体" w:hAnsi="宋体"/>
          <w:sz w:val="30"/>
          <w:lang w:eastAsia="zh-CN"/>
        </w:rPr>
      </w:pPr>
      <w:bookmarkStart w:id="65" w:name="_Toc84133787"/>
      <w:bookmarkStart w:id="66" w:name="_Toc84234389"/>
      <w:bookmarkStart w:id="67" w:name="_Toc84234436"/>
      <w:bookmarkStart w:id="68" w:name="_Toc86204790"/>
      <w:bookmarkStart w:id="69" w:name="_Toc86223244"/>
      <w:bookmarkStart w:id="70" w:name="_Toc86225293"/>
      <w:bookmarkStart w:id="71" w:name="_Toc86649724"/>
      <w:bookmarkStart w:id="72" w:name="_Toc86726441"/>
      <w:bookmarkStart w:id="73" w:name="_Toc86727357"/>
      <w:bookmarkStart w:id="74" w:name="_Toc86737931"/>
      <w:bookmarkStart w:id="75" w:name="_Toc89163370"/>
      <w:bookmarkStart w:id="76" w:name="_Toc108512360"/>
      <w:bookmarkStart w:id="77" w:name="_Toc110761798"/>
      <w:bookmarkStart w:id="78" w:name="_Toc110765662"/>
      <w:bookmarkStart w:id="79" w:name="_Toc110830494"/>
      <w:bookmarkStart w:id="80" w:name="_Toc118212952"/>
      <w:bookmarkStart w:id="81" w:name="_Toc118774805"/>
      <w:bookmarkStart w:id="82" w:name="_Toc118972650"/>
      <w:bookmarkStart w:id="83" w:name="_Toc119402712"/>
      <w:bookmarkStart w:id="84" w:name="_Toc120435785"/>
      <w:bookmarkStart w:id="85" w:name="_Toc205489767"/>
      <w:r>
        <w:rPr>
          <w:rFonts w:ascii="宋体" w:eastAsia="宋体" w:hAnsi="宋体" w:hint="eastAsia"/>
          <w:sz w:val="30"/>
          <w:highlight w:val="white"/>
          <w:lang w:eastAsia="zh-CN"/>
        </w:rPr>
        <w:t>六、指令的发送、确认及执行</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CB176C">
      <w:pPr>
        <w:pStyle w:val="NormalIndent"/>
        <w:rPr>
          <w:lang w:eastAsia="zh-CN"/>
        </w:rPr>
      </w:pP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基金管理人在运用基金财产开展场内证券交易时，应通过基金资金账户与证券交易资金账户已建立的第三方存管系统实现基金资金账户与证券交易资金账户之间的资金划转，即银证互转；基金管理人在运用基金财产开展场外交易时，向基金托管人发送资金划拨及其他款项付款指令，基金托管人执行基金管理人的指令、办理基金名下的资金往来等有关事项。</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（一）基金管理人对签署指令人员的书面授权</w:t>
      </w:r>
    </w:p>
    <w:p w:rsidR="00CB176C">
      <w:pPr>
        <w:snapToGrid w:val="0"/>
        <w:spacing w:after="156" w:afterLines="50" w:line="288" w:lineRule="auto"/>
        <w:ind w:firstLine="480"/>
        <w:rPr>
          <w:rFonts w:ascii="宋体" w:hAnsi="宋体" w:cs="Arial"/>
          <w:sz w:val="24"/>
          <w:lang w:eastAsia="zh-CN"/>
        </w:rPr>
      </w:pPr>
      <w:r>
        <w:rPr>
          <w:rFonts w:ascii="宋体" w:hAnsi="宋体" w:cs="Arial" w:hint="eastAsia"/>
          <w:sz w:val="24"/>
          <w:highlight w:val="white"/>
          <w:lang w:eastAsia="zh-CN"/>
        </w:rPr>
        <w:t>基金管理人应事先书面提供给基金托管人有权代表基金管理人签署指令的人员名单（“被授权人”），并向基金托管人提供相应的“授权委</w:t>
      </w:r>
      <w:r>
        <w:rPr>
          <w:rFonts w:ascii="宋体" w:hAnsi="宋体" w:cs="Arial" w:hint="eastAsia"/>
          <w:sz w:val="24"/>
          <w:highlight w:val="white"/>
          <w:lang w:eastAsia="zh-CN"/>
        </w:rPr>
        <w:t>托书”原件。授权委托书中应包括被授权人的名单、权限、预留印鉴和签字样本，并注明相应的交易权限。授权委托书原件由基金管理人的有权签字人签字或盖章并加盖公章。基金托管人在收到授权委托书当日向基金管理人确认。授权委托书须载明授权生效日期。授权委托书自载明的生效日期开始生效。基金托管人收到授权委托书的日期晚于载明生效日期的，则自基金托管人收到该授权委托书原件时生效。基金管理人和基金托管人对授权文件负有保密义务，其内容不得向相关人员以外的任何人泄露。</w:t>
      </w:r>
    </w:p>
    <w:p w:rsidR="00CB176C">
      <w:pPr>
        <w:snapToGrid w:val="0"/>
        <w:spacing w:before="156" w:line="276" w:lineRule="auto"/>
        <w:ind w:firstLine="480"/>
        <w:rPr>
          <w:rFonts w:ascii="宋体" w:hAnsi="宋体"/>
          <w:sz w:val="24"/>
          <w:lang w:eastAsia="zh-CN"/>
        </w:rPr>
      </w:pPr>
      <w:r>
        <w:rPr>
          <w:rFonts w:ascii="宋体" w:hAnsi="宋体" w:cs="Arial" w:hint="eastAsia"/>
          <w:sz w:val="24"/>
          <w:highlight w:val="white"/>
          <w:lang w:eastAsia="zh-CN"/>
        </w:rPr>
        <w:t>（二）</w:t>
      </w:r>
      <w:r>
        <w:rPr>
          <w:rFonts w:ascii="宋体" w:hAnsi="宋体" w:hint="eastAsia"/>
          <w:sz w:val="24"/>
          <w:highlight w:val="white"/>
          <w:lang w:eastAsia="zh-CN"/>
        </w:rPr>
        <w:t>指令的内容</w:t>
      </w:r>
    </w:p>
    <w:p w:rsidR="00CB176C">
      <w:pPr>
        <w:snapToGrid w:val="0"/>
        <w:spacing w:before="156" w:line="276" w:lineRule="auto"/>
        <w:ind w:firstLine="480"/>
        <w:rPr>
          <w:rFonts w:ascii="宋体" w:hAnsi="宋体"/>
          <w:sz w:val="24"/>
          <w:lang w:eastAsia="zh-CN"/>
        </w:rPr>
      </w:pPr>
      <w:r>
        <w:rPr>
          <w:rFonts w:ascii="宋体" w:hAnsi="宋体" w:hint="eastAsia"/>
          <w:sz w:val="24"/>
          <w:highlight w:val="white"/>
          <w:lang w:eastAsia="zh-CN"/>
        </w:rPr>
        <w:t>1.</w:t>
      </w:r>
      <w:r>
        <w:rPr>
          <w:rFonts w:ascii="宋体" w:hAnsi="宋体" w:hint="eastAsia"/>
          <w:sz w:val="24"/>
          <w:highlight w:val="white"/>
          <w:lang w:eastAsia="zh-CN"/>
        </w:rPr>
        <w:t>指令是指在管理基金财产时，基金管理人向基金托</w:t>
      </w:r>
      <w:r>
        <w:rPr>
          <w:rFonts w:ascii="宋体" w:hAnsi="宋体" w:hint="eastAsia"/>
          <w:sz w:val="24"/>
          <w:highlight w:val="white"/>
          <w:lang w:eastAsia="zh-CN"/>
        </w:rPr>
        <w:t>管人发出的指令要求。前述指令要求包括但不限于资金划拨（含各类付款指令、实物债券出入库指令以及其他资金划拨指令等）、交易结算及代为行权指令等。</w:t>
      </w:r>
    </w:p>
    <w:p w:rsidR="00CB176C">
      <w:pPr>
        <w:snapToGrid w:val="0"/>
        <w:spacing w:before="156" w:line="276" w:lineRule="auto"/>
        <w:ind w:firstLine="480"/>
        <w:rPr>
          <w:rFonts w:ascii="宋体" w:hAnsi="宋体"/>
          <w:sz w:val="24"/>
          <w:lang w:eastAsia="zh-CN"/>
        </w:rPr>
      </w:pPr>
      <w:r>
        <w:rPr>
          <w:rFonts w:ascii="宋体" w:hAnsi="宋体" w:hint="eastAsia"/>
          <w:sz w:val="24"/>
          <w:highlight w:val="white"/>
          <w:lang w:eastAsia="zh-CN"/>
        </w:rPr>
        <w:t>2.</w:t>
      </w:r>
      <w:r>
        <w:rPr>
          <w:rFonts w:ascii="宋体" w:hAnsi="宋体" w:hint="eastAsia"/>
          <w:sz w:val="24"/>
          <w:highlight w:val="white"/>
          <w:lang w:eastAsia="zh-CN"/>
        </w:rPr>
        <w:t>基金管理人发给基金托管人的指令应写明款项事由、付款</w:t>
      </w:r>
      <w:r>
        <w:rPr>
          <w:rFonts w:ascii="宋体" w:hAnsi="宋体"/>
          <w:sz w:val="24"/>
          <w:highlight w:val="white"/>
          <w:lang w:eastAsia="zh-CN"/>
        </w:rPr>
        <w:t>日期</w:t>
      </w:r>
      <w:r>
        <w:rPr>
          <w:rFonts w:ascii="宋体" w:hAnsi="宋体" w:hint="eastAsia"/>
          <w:sz w:val="24"/>
          <w:highlight w:val="white"/>
          <w:lang w:eastAsia="zh-CN"/>
        </w:rPr>
        <w:t>、金额、币种、收款账户信息、大额支付号等内容，书面指令需由被授权人签字或签章，并加盖业务章或公章。</w:t>
      </w:r>
    </w:p>
    <w:p w:rsidR="00CB176C">
      <w:pPr>
        <w:spacing w:before="156" w:line="276" w:lineRule="auto"/>
        <w:ind w:firstLine="480"/>
        <w:rPr>
          <w:lang w:eastAsia="zh-CN"/>
        </w:rPr>
      </w:pPr>
      <w:r>
        <w:rPr>
          <w:rFonts w:ascii="宋体" w:hAnsi="宋体"/>
          <w:sz w:val="24"/>
          <w:highlight w:val="white"/>
          <w:lang w:eastAsia="zh-CN"/>
        </w:rPr>
        <w:t>3.</w:t>
      </w:r>
      <w:r>
        <w:rPr>
          <w:rFonts w:ascii="宋体" w:hAnsi="宋体"/>
          <w:sz w:val="24"/>
          <w:highlight w:val="white"/>
          <w:lang w:eastAsia="zh-CN"/>
        </w:rPr>
        <w:t>一般划款指令应在</w:t>
      </w:r>
      <w:r>
        <w:rPr>
          <w:rFonts w:ascii="宋体" w:hAnsi="宋体"/>
          <w:sz w:val="24"/>
          <w:highlight w:val="white"/>
          <w:lang w:eastAsia="zh-CN"/>
        </w:rPr>
        <w:t>15</w:t>
      </w:r>
      <w:r>
        <w:rPr>
          <w:rFonts w:ascii="宋体" w:hAnsi="宋体"/>
          <w:sz w:val="24"/>
          <w:highlight w:val="white"/>
          <w:lang w:eastAsia="zh-CN"/>
        </w:rPr>
        <w:t>点（指令截至时间）前提交基金托管人，如基金管理人要求当天某一时点到账，则指令需提前</w:t>
      </w:r>
      <w:r>
        <w:rPr>
          <w:rFonts w:ascii="宋体" w:hAnsi="宋体"/>
          <w:sz w:val="24"/>
          <w:highlight w:val="white"/>
          <w:lang w:eastAsia="zh-CN"/>
        </w:rPr>
        <w:t>2</w:t>
      </w:r>
      <w:r>
        <w:rPr>
          <w:rFonts w:ascii="宋体" w:hAnsi="宋体"/>
          <w:sz w:val="24"/>
          <w:highlight w:val="white"/>
          <w:lang w:eastAsia="zh-CN"/>
        </w:rPr>
        <w:t>个工作小时</w:t>
      </w:r>
      <w:r>
        <w:rPr>
          <w:rFonts w:ascii="宋体" w:hAnsi="宋体"/>
          <w:sz w:val="24"/>
          <w:highlight w:val="white"/>
          <w:lang w:eastAsia="zh-CN"/>
        </w:rPr>
        <w:t>(</w:t>
      </w:r>
      <w:r>
        <w:rPr>
          <w:rFonts w:ascii="宋体" w:hAnsi="宋体"/>
          <w:sz w:val="24"/>
          <w:highlight w:val="white"/>
          <w:lang w:eastAsia="zh-CN"/>
        </w:rPr>
        <w:t>工作时间</w:t>
      </w:r>
      <w:r>
        <w:rPr>
          <w:rFonts w:ascii="宋体" w:hAnsi="宋体"/>
          <w:sz w:val="24"/>
          <w:highlight w:val="white"/>
          <w:lang w:eastAsia="zh-CN"/>
        </w:rPr>
        <w:t>9</w:t>
      </w:r>
      <w:r>
        <w:rPr>
          <w:rFonts w:ascii="宋体" w:hAnsi="宋体"/>
          <w:sz w:val="24"/>
          <w:highlight w:val="white"/>
          <w:lang w:eastAsia="zh-CN"/>
        </w:rPr>
        <w:t>点至</w:t>
      </w:r>
      <w:r>
        <w:rPr>
          <w:rFonts w:ascii="宋体" w:hAnsi="宋体"/>
          <w:sz w:val="24"/>
          <w:highlight w:val="white"/>
          <w:lang w:eastAsia="zh-CN"/>
        </w:rPr>
        <w:t>11</w:t>
      </w:r>
      <w:r>
        <w:rPr>
          <w:rFonts w:ascii="宋体" w:hAnsi="宋体"/>
          <w:sz w:val="24"/>
          <w:highlight w:val="white"/>
          <w:lang w:eastAsia="zh-CN"/>
        </w:rPr>
        <w:t>点</w:t>
      </w:r>
      <w:r>
        <w:rPr>
          <w:rFonts w:ascii="宋体" w:hAnsi="宋体"/>
          <w:sz w:val="24"/>
          <w:highlight w:val="white"/>
          <w:lang w:eastAsia="zh-CN"/>
        </w:rPr>
        <w:t>30</w:t>
      </w:r>
      <w:r>
        <w:rPr>
          <w:rFonts w:ascii="宋体" w:hAnsi="宋体"/>
          <w:sz w:val="24"/>
          <w:highlight w:val="white"/>
          <w:lang w:eastAsia="zh-CN"/>
        </w:rPr>
        <w:t>分</w:t>
      </w:r>
      <w:r>
        <w:rPr>
          <w:rFonts w:ascii="宋体" w:hAnsi="宋体"/>
          <w:sz w:val="24"/>
          <w:highlight w:val="white"/>
          <w:lang w:eastAsia="zh-CN"/>
        </w:rPr>
        <w:t>,13</w:t>
      </w:r>
      <w:r>
        <w:rPr>
          <w:rFonts w:ascii="宋体" w:hAnsi="宋体"/>
          <w:sz w:val="24"/>
          <w:highlight w:val="white"/>
          <w:lang w:eastAsia="zh-CN"/>
        </w:rPr>
        <w:t>点至</w:t>
      </w:r>
      <w:r>
        <w:rPr>
          <w:rFonts w:ascii="宋体" w:hAnsi="宋体"/>
          <w:sz w:val="24"/>
          <w:highlight w:val="white"/>
          <w:lang w:eastAsia="zh-CN"/>
        </w:rPr>
        <w:t>17</w:t>
      </w:r>
      <w:r>
        <w:rPr>
          <w:rFonts w:ascii="宋体" w:hAnsi="宋体"/>
          <w:sz w:val="24"/>
          <w:highlight w:val="white"/>
          <w:lang w:eastAsia="zh-CN"/>
        </w:rPr>
        <w:t>点</w:t>
      </w:r>
      <w:r>
        <w:rPr>
          <w:rFonts w:ascii="宋体" w:hAnsi="宋体"/>
          <w:sz w:val="24"/>
          <w:highlight w:val="white"/>
          <w:lang w:eastAsia="zh-CN"/>
        </w:rPr>
        <w:t>)</w:t>
      </w:r>
      <w:r>
        <w:rPr>
          <w:rFonts w:ascii="宋体" w:hAnsi="宋体"/>
          <w:sz w:val="24"/>
          <w:highlight w:val="white"/>
          <w:lang w:eastAsia="zh-CN"/>
        </w:rPr>
        <w:t>提交基金托管人。</w:t>
      </w:r>
    </w:p>
    <w:p w:rsidR="00CB176C">
      <w:pPr>
        <w:spacing w:before="156" w:line="276" w:lineRule="auto"/>
        <w:ind w:firstLine="480"/>
        <w:rPr>
          <w:lang w:eastAsia="zh-CN"/>
        </w:rPr>
      </w:pPr>
      <w:r>
        <w:rPr>
          <w:rFonts w:ascii="宋体" w:hAnsi="宋体"/>
          <w:sz w:val="24"/>
          <w:highlight w:val="white"/>
          <w:lang w:eastAsia="zh-CN"/>
        </w:rPr>
        <w:t>新股和增发的申购指令，基金管理人须在申购前</w:t>
      </w:r>
      <w:r>
        <w:rPr>
          <w:rFonts w:ascii="宋体" w:hAnsi="宋体"/>
          <w:sz w:val="24"/>
          <w:highlight w:val="white"/>
          <w:lang w:eastAsia="zh-CN"/>
        </w:rPr>
        <w:t>1</w:t>
      </w:r>
      <w:r>
        <w:rPr>
          <w:rFonts w:ascii="宋体" w:hAnsi="宋体"/>
          <w:sz w:val="24"/>
          <w:highlight w:val="white"/>
          <w:lang w:eastAsia="zh-CN"/>
        </w:rPr>
        <w:t>个工作日向基金托管人发送指令，如需在申购当日下达指令，基金管理人应为基金托管人留出执行指令所必需的时间，指令最迟不得晚于上午</w:t>
      </w:r>
      <w:r>
        <w:rPr>
          <w:rFonts w:ascii="宋体" w:hAnsi="宋体"/>
          <w:sz w:val="24"/>
          <w:highlight w:val="white"/>
          <w:lang w:eastAsia="zh-CN"/>
        </w:rPr>
        <w:t>11</w:t>
      </w:r>
      <w:r>
        <w:rPr>
          <w:rFonts w:ascii="宋体" w:hAnsi="宋体"/>
          <w:sz w:val="24"/>
          <w:highlight w:val="white"/>
          <w:lang w:eastAsia="zh-CN"/>
        </w:rPr>
        <w:t>：</w:t>
      </w:r>
      <w:r>
        <w:rPr>
          <w:rFonts w:ascii="宋体" w:hAnsi="宋体"/>
          <w:sz w:val="24"/>
          <w:highlight w:val="white"/>
          <w:lang w:eastAsia="zh-CN"/>
        </w:rPr>
        <w:t>00</w:t>
      </w:r>
      <w:r>
        <w:rPr>
          <w:rFonts w:ascii="宋体" w:hAnsi="宋体"/>
          <w:sz w:val="24"/>
          <w:highlight w:val="white"/>
          <w:lang w:eastAsia="zh-CN"/>
        </w:rPr>
        <w:t>点（指令截至时间）提交基金托管人。</w:t>
      </w:r>
    </w:p>
    <w:p w:rsidR="00CB176C">
      <w:pPr>
        <w:spacing w:before="156" w:line="276" w:lineRule="auto"/>
        <w:ind w:firstLine="480"/>
        <w:rPr>
          <w:lang w:eastAsia="zh-CN"/>
        </w:rPr>
      </w:pPr>
      <w:r>
        <w:rPr>
          <w:rFonts w:ascii="宋体" w:hAnsi="宋体"/>
          <w:sz w:val="24"/>
          <w:highlight w:val="white"/>
          <w:lang w:eastAsia="zh-CN"/>
        </w:rPr>
        <w:t>如银行间指令、定期存款指令、非担保交收指令等给予基金托管人的划拨时间小于</w:t>
      </w:r>
      <w:r>
        <w:rPr>
          <w:rFonts w:ascii="宋体" w:hAnsi="宋体"/>
          <w:sz w:val="24"/>
          <w:highlight w:val="white"/>
          <w:lang w:eastAsia="zh-CN"/>
        </w:rPr>
        <w:t>2</w:t>
      </w:r>
      <w:r>
        <w:rPr>
          <w:rFonts w:ascii="宋体" w:hAnsi="宋体"/>
          <w:sz w:val="24"/>
          <w:highlight w:val="white"/>
          <w:lang w:eastAsia="zh-CN"/>
        </w:rPr>
        <w:t>个工作小时或晚于前述指令截至时间的，基金托管人应尽力在指定时间内完成资金划拨</w:t>
      </w:r>
      <w:r>
        <w:rPr>
          <w:rFonts w:ascii="宋体" w:hAnsi="宋体"/>
          <w:sz w:val="24"/>
          <w:highlight w:val="white"/>
          <w:lang w:eastAsia="zh-CN"/>
        </w:rPr>
        <w:t>,</w:t>
      </w:r>
      <w:r>
        <w:rPr>
          <w:rFonts w:ascii="宋体" w:hAnsi="宋体"/>
          <w:sz w:val="24"/>
          <w:highlight w:val="white"/>
          <w:lang w:eastAsia="zh-CN"/>
        </w:rPr>
        <w:t>但不承担因时间不足导致执行失败的责任。</w:t>
      </w:r>
    </w:p>
    <w:p w:rsidR="00CB176C">
      <w:pPr>
        <w:snapToGrid w:val="0"/>
        <w:spacing w:before="156" w:line="276" w:lineRule="auto"/>
        <w:ind w:firstLine="480"/>
        <w:rPr>
          <w:rFonts w:ascii="宋体" w:hAnsi="宋体"/>
          <w:sz w:val="24"/>
          <w:lang w:eastAsia="zh-CN"/>
        </w:rPr>
      </w:pPr>
      <w:r>
        <w:rPr>
          <w:rFonts w:ascii="宋体" w:hAnsi="宋体" w:hint="eastAsia"/>
          <w:sz w:val="24"/>
          <w:highlight w:val="white"/>
          <w:lang w:eastAsia="zh-CN"/>
        </w:rPr>
        <w:t>（三）电子指令</w:t>
      </w:r>
    </w:p>
    <w:p w:rsidR="00CB176C">
      <w:pPr>
        <w:snapToGrid w:val="0"/>
        <w:spacing w:before="156" w:line="276" w:lineRule="auto"/>
        <w:ind w:firstLine="480"/>
        <w:rPr>
          <w:rFonts w:ascii="宋体" w:hAnsi="宋体"/>
          <w:sz w:val="24"/>
          <w:lang w:eastAsia="zh-CN"/>
        </w:rPr>
      </w:pPr>
      <w:r>
        <w:rPr>
          <w:rFonts w:ascii="宋体" w:hAnsi="宋体" w:hint="eastAsia"/>
          <w:sz w:val="24"/>
          <w:highlight w:val="white"/>
          <w:lang w:eastAsia="zh-CN"/>
        </w:rPr>
        <w:t>如果基金托管人同意基金管理人通过传真、电子邮件或其他双方认可的电子传输方式发出或发送指令、</w:t>
      </w:r>
      <w:r>
        <w:rPr>
          <w:rFonts w:ascii="宋体" w:hAnsi="宋体" w:hint="eastAsia"/>
          <w:sz w:val="24"/>
          <w:highlight w:val="white"/>
          <w:lang w:eastAsia="zh-CN"/>
        </w:rPr>
        <w:t>通知或其他文件</w:t>
      </w:r>
      <w:r>
        <w:rPr>
          <w:rFonts w:ascii="宋体" w:hAnsi="宋体" w:hint="eastAsia"/>
          <w:sz w:val="24"/>
          <w:highlight w:val="white"/>
          <w:lang w:eastAsia="zh-CN"/>
        </w:rPr>
        <w:t>(</w:t>
      </w:r>
      <w:r>
        <w:rPr>
          <w:rFonts w:ascii="宋体" w:hAnsi="宋体" w:hint="eastAsia"/>
          <w:sz w:val="24"/>
          <w:highlight w:val="white"/>
          <w:lang w:eastAsia="zh-CN"/>
        </w:rPr>
        <w:t>“电子指令”</w:t>
      </w:r>
      <w:r>
        <w:rPr>
          <w:rFonts w:ascii="宋体" w:hAnsi="宋体" w:hint="eastAsia"/>
          <w:sz w:val="24"/>
          <w:highlight w:val="white"/>
          <w:lang w:eastAsia="zh-CN"/>
        </w:rPr>
        <w:t xml:space="preserve">), </w:t>
      </w:r>
      <w:r>
        <w:rPr>
          <w:rFonts w:ascii="宋体" w:hAnsi="宋体" w:hint="eastAsia"/>
          <w:sz w:val="24"/>
          <w:highlight w:val="white"/>
          <w:lang w:eastAsia="zh-CN"/>
        </w:rPr>
        <w:t>基金管理人同意并知悉</w:t>
      </w:r>
      <w:r>
        <w:rPr>
          <w:rFonts w:ascii="宋体" w:hAnsi="宋体" w:hint="eastAsia"/>
          <w:sz w:val="24"/>
          <w:highlight w:val="white"/>
          <w:lang w:eastAsia="zh-CN"/>
        </w:rPr>
        <w:t>:</w:t>
      </w:r>
    </w:p>
    <w:p w:rsidR="00CB176C">
      <w:pPr>
        <w:snapToGrid w:val="0"/>
        <w:spacing w:before="156" w:line="276" w:lineRule="auto"/>
        <w:ind w:firstLine="480"/>
        <w:rPr>
          <w:rFonts w:ascii="宋体" w:hAnsi="宋体"/>
          <w:sz w:val="24"/>
          <w:lang w:eastAsia="zh-CN"/>
        </w:rPr>
      </w:pPr>
      <w:r>
        <w:rPr>
          <w:rFonts w:ascii="宋体" w:hAnsi="宋体"/>
          <w:sz w:val="24"/>
          <w:highlight w:val="white"/>
          <w:lang w:eastAsia="zh-CN"/>
        </w:rPr>
        <w:t>1.</w:t>
      </w:r>
      <w:r>
        <w:rPr>
          <w:rFonts w:ascii="宋体" w:hAnsi="宋体" w:hint="eastAsia"/>
          <w:sz w:val="24"/>
          <w:highlight w:val="white"/>
          <w:lang w:eastAsia="zh-CN"/>
        </w:rPr>
        <w:t>电子指令可能被泄露</w:t>
      </w:r>
      <w:r>
        <w:rPr>
          <w:rFonts w:ascii="宋体" w:hAnsi="宋体" w:hint="eastAsia"/>
          <w:sz w:val="24"/>
          <w:highlight w:val="white"/>
          <w:lang w:eastAsia="zh-CN"/>
        </w:rPr>
        <w:t>(</w:t>
      </w:r>
      <w:r>
        <w:rPr>
          <w:rFonts w:ascii="宋体" w:hAnsi="宋体" w:hint="eastAsia"/>
          <w:sz w:val="24"/>
          <w:highlight w:val="white"/>
          <w:lang w:eastAsia="zh-CN"/>
        </w:rPr>
        <w:t>无论是否加密</w:t>
      </w:r>
      <w:r>
        <w:rPr>
          <w:rFonts w:ascii="宋体" w:hAnsi="宋体" w:hint="eastAsia"/>
          <w:sz w:val="24"/>
          <w:highlight w:val="white"/>
          <w:lang w:eastAsia="zh-CN"/>
        </w:rPr>
        <w:t>)</w:t>
      </w:r>
      <w:r>
        <w:rPr>
          <w:rFonts w:ascii="宋体" w:hAnsi="宋体" w:hint="eastAsia"/>
          <w:sz w:val="24"/>
          <w:highlight w:val="white"/>
          <w:lang w:eastAsia="zh-CN"/>
        </w:rPr>
        <w:t>，可能被送达至错误地址或可能未及时送达，也可能在任何时间被第三方截获，因此电子指令的保密性、安全性和完整性存在一定的风险。</w:t>
      </w:r>
    </w:p>
    <w:p w:rsidR="00CB176C">
      <w:pPr>
        <w:snapToGrid w:val="0"/>
        <w:spacing w:before="156" w:line="276" w:lineRule="auto"/>
        <w:ind w:firstLine="480"/>
        <w:rPr>
          <w:rFonts w:ascii="宋体" w:hAnsi="宋体"/>
          <w:sz w:val="24"/>
          <w:lang w:eastAsia="zh-CN"/>
        </w:rPr>
      </w:pPr>
      <w:r>
        <w:rPr>
          <w:rFonts w:ascii="宋体" w:hAnsi="宋体"/>
          <w:sz w:val="24"/>
          <w:highlight w:val="white"/>
          <w:lang w:eastAsia="zh-CN"/>
        </w:rPr>
        <w:t>2.</w:t>
      </w:r>
      <w:r>
        <w:rPr>
          <w:rFonts w:ascii="宋体" w:hAnsi="宋体" w:hint="eastAsia"/>
          <w:sz w:val="24"/>
          <w:highlight w:val="white"/>
          <w:lang w:eastAsia="zh-CN"/>
        </w:rPr>
        <w:t>基金管理人应以其公司域名的邮箱发出电子指令，或通过电子直连对接方式（如深证通）发出电子指令，基金托管人认为该等电子指令由基金管理人有效做出并对基金管理人有约束力。基金托管人应根据本协议的约定审核电子指令的内容，并不时要求对电子指令和基金管理人进行电话确认。在需要履行电话确认程序的情形下</w:t>
      </w:r>
      <w:r>
        <w:rPr>
          <w:rFonts w:ascii="宋体" w:hAnsi="宋体" w:hint="eastAsia"/>
          <w:sz w:val="24"/>
          <w:highlight w:val="white"/>
          <w:lang w:eastAsia="zh-CN"/>
        </w:rPr>
        <w:t xml:space="preserve"> </w:t>
      </w:r>
      <w:r>
        <w:rPr>
          <w:rFonts w:ascii="宋体" w:hAnsi="宋体" w:hint="eastAsia"/>
          <w:sz w:val="24"/>
          <w:highlight w:val="white"/>
          <w:lang w:eastAsia="zh-CN"/>
        </w:rPr>
        <w:t>，由于非基金托管人的原因未能及时联系到基金管理人指定的联系人，基金托管人无需另行通知基金管理人而可以基于该等电子指令行事。</w:t>
      </w:r>
    </w:p>
    <w:p w:rsidR="00CB176C">
      <w:pPr>
        <w:spacing w:before="156" w:line="276" w:lineRule="auto"/>
        <w:ind w:firstLine="480"/>
        <w:rPr>
          <w:lang w:eastAsia="zh-CN"/>
        </w:rPr>
      </w:pPr>
      <w:r>
        <w:rPr>
          <w:rFonts w:ascii="宋体" w:hAnsi="宋体"/>
          <w:sz w:val="24"/>
          <w:highlight w:val="white"/>
          <w:lang w:eastAsia="zh-CN"/>
        </w:rPr>
        <w:t>3.</w:t>
      </w:r>
      <w:r>
        <w:rPr>
          <w:rFonts w:ascii="宋体" w:hAnsi="宋体"/>
          <w:sz w:val="24"/>
          <w:highlight w:val="white"/>
          <w:lang w:eastAsia="zh-CN"/>
        </w:rPr>
        <w:t>基金托管人仅负责根据其实际收到的电子指令行事。根据本协议的以下第（四）条</w:t>
      </w:r>
      <w:r>
        <w:rPr>
          <w:rFonts w:ascii="宋体" w:hAnsi="宋体"/>
          <w:sz w:val="24"/>
          <w:highlight w:val="white"/>
          <w:lang w:eastAsia="zh-CN"/>
        </w:rPr>
        <w:t>“</w:t>
      </w:r>
      <w:r>
        <w:rPr>
          <w:rFonts w:ascii="宋体" w:hAnsi="宋体"/>
          <w:sz w:val="24"/>
          <w:highlight w:val="white"/>
          <w:lang w:eastAsia="zh-CN"/>
        </w:rPr>
        <w:t>指令的发送、确认及执行的时间和程序</w:t>
      </w:r>
      <w:r>
        <w:rPr>
          <w:rFonts w:ascii="宋体" w:hAnsi="宋体"/>
          <w:sz w:val="24"/>
          <w:highlight w:val="white"/>
          <w:lang w:eastAsia="zh-CN"/>
        </w:rPr>
        <w:t>”</w:t>
      </w:r>
      <w:r>
        <w:rPr>
          <w:rFonts w:ascii="宋体" w:hAnsi="宋体"/>
          <w:sz w:val="24"/>
          <w:highlight w:val="white"/>
          <w:lang w:eastAsia="zh-CN"/>
        </w:rPr>
        <w:t>的约定，基金管理人应当在发送指令之后和基金托管人确认，或托管人通过电子直连对接方式反馈指令已收到。</w:t>
      </w:r>
    </w:p>
    <w:p w:rsidR="00CB176C">
      <w:pPr>
        <w:snapToGrid w:val="0"/>
        <w:spacing w:before="156" w:line="276" w:lineRule="auto"/>
        <w:ind w:firstLine="480"/>
        <w:rPr>
          <w:rFonts w:ascii="宋体" w:hAnsi="宋体"/>
          <w:sz w:val="24"/>
          <w:lang w:eastAsia="zh-CN"/>
        </w:rPr>
      </w:pPr>
      <w:r>
        <w:rPr>
          <w:rFonts w:ascii="宋体" w:hAnsi="宋体"/>
          <w:sz w:val="24"/>
          <w:highlight w:val="white"/>
          <w:lang w:eastAsia="zh-CN"/>
        </w:rPr>
        <w:t>4.</w:t>
      </w:r>
      <w:r>
        <w:rPr>
          <w:rFonts w:ascii="宋体" w:hAnsi="宋体" w:hint="eastAsia"/>
          <w:sz w:val="24"/>
          <w:highlight w:val="white"/>
          <w:lang w:eastAsia="zh-CN"/>
        </w:rPr>
        <w:t>基金管理人和</w:t>
      </w:r>
      <w:r>
        <w:rPr>
          <w:rFonts w:ascii="宋体" w:hAnsi="宋体" w:hint="eastAsia"/>
          <w:sz w:val="24"/>
          <w:highlight w:val="white"/>
          <w:lang w:eastAsia="zh-CN"/>
        </w:rPr>
        <w:t>/</w:t>
      </w:r>
      <w:r>
        <w:rPr>
          <w:rFonts w:ascii="宋体" w:hAnsi="宋体" w:hint="eastAsia"/>
          <w:sz w:val="24"/>
          <w:highlight w:val="white"/>
          <w:lang w:eastAsia="zh-CN"/>
        </w:rPr>
        <w:t>或基金投资者因基金管理人与基金托管人之间任何电子指令的接收、接受或基于该等电子指令行事可能遭受的任何财务损失或其他损失，基金托管人不承担责任，但基金托管人存</w:t>
      </w:r>
      <w:r>
        <w:rPr>
          <w:rFonts w:ascii="宋体" w:hAnsi="宋体" w:hint="eastAsia"/>
          <w:sz w:val="24"/>
          <w:highlight w:val="white"/>
          <w:lang w:eastAsia="zh-CN"/>
        </w:rPr>
        <w:t>在过错的除外。</w:t>
      </w:r>
    </w:p>
    <w:p w:rsidR="00CB176C">
      <w:pPr>
        <w:snapToGrid w:val="0"/>
        <w:spacing w:before="156" w:line="276" w:lineRule="auto"/>
        <w:ind w:firstLine="480"/>
        <w:rPr>
          <w:rFonts w:ascii="宋体" w:hAnsi="宋体"/>
          <w:sz w:val="24"/>
          <w:lang w:eastAsia="zh-CN"/>
        </w:rPr>
      </w:pPr>
      <w:r>
        <w:rPr>
          <w:rFonts w:ascii="宋体" w:hAnsi="宋体"/>
          <w:sz w:val="24"/>
          <w:highlight w:val="white"/>
          <w:lang w:eastAsia="zh-CN"/>
        </w:rPr>
        <w:t>5.</w:t>
      </w:r>
      <w:r>
        <w:rPr>
          <w:rFonts w:ascii="宋体" w:hAnsi="宋体" w:hint="eastAsia"/>
          <w:sz w:val="24"/>
          <w:highlight w:val="white"/>
          <w:lang w:eastAsia="zh-CN"/>
        </w:rPr>
        <w:t>基金托管人收到并保留的电子指令的记录，在没有明显错误的情况下，应成为最终以及结论性关于指令内容的证据。</w:t>
      </w:r>
    </w:p>
    <w:p w:rsidR="00CB176C">
      <w:pPr>
        <w:snapToGrid w:val="0"/>
        <w:spacing w:before="156" w:line="276" w:lineRule="auto"/>
        <w:ind w:firstLine="480"/>
        <w:rPr>
          <w:rFonts w:ascii="宋体" w:hAnsi="宋体"/>
          <w:sz w:val="24"/>
          <w:lang w:eastAsia="zh-CN"/>
        </w:rPr>
      </w:pPr>
      <w:r>
        <w:rPr>
          <w:rFonts w:ascii="宋体" w:hAnsi="宋体"/>
          <w:sz w:val="24"/>
          <w:highlight w:val="white"/>
          <w:lang w:eastAsia="zh-CN"/>
        </w:rPr>
        <w:t>6.</w:t>
      </w:r>
      <w:r>
        <w:rPr>
          <w:rFonts w:ascii="宋体" w:hAnsi="宋体" w:hint="eastAsia"/>
          <w:sz w:val="24"/>
          <w:highlight w:val="white"/>
          <w:lang w:eastAsia="zh-CN"/>
        </w:rPr>
        <w:t>不得发送或传输任何包含损害基金托管人财产或计算机系统的病毒或其他媒介的电子指令，或者可能具有诽谤、书面诽谤、口头诽谤、淫秽、辱骂、威胁或不道德内容的电子指令，并遵守该等电子指令的内容和传输适用的所有相关法律法规和国际惯例或条约。</w:t>
      </w:r>
    </w:p>
    <w:p w:rsidR="00CB176C">
      <w:pPr>
        <w:snapToGrid w:val="0"/>
        <w:spacing w:before="156" w:line="276" w:lineRule="auto"/>
        <w:ind w:firstLine="480"/>
        <w:rPr>
          <w:rFonts w:ascii="宋体" w:hAnsi="宋体"/>
          <w:sz w:val="24"/>
          <w:lang w:eastAsia="zh-CN"/>
        </w:rPr>
      </w:pPr>
      <w:r>
        <w:rPr>
          <w:rFonts w:ascii="宋体" w:hAnsi="宋体"/>
          <w:sz w:val="24"/>
          <w:highlight w:val="white"/>
          <w:lang w:eastAsia="zh-CN"/>
        </w:rPr>
        <w:t>7.</w:t>
      </w:r>
      <w:r>
        <w:rPr>
          <w:rFonts w:ascii="宋体" w:hAnsi="宋体" w:hint="eastAsia"/>
          <w:sz w:val="24"/>
          <w:highlight w:val="white"/>
          <w:lang w:eastAsia="zh-CN"/>
        </w:rPr>
        <w:t>遵守基金托管人关于通过电子指令传输指令所要求的程序。</w:t>
      </w:r>
    </w:p>
    <w:p w:rsidR="00CB176C">
      <w:pPr>
        <w:snapToGrid w:val="0"/>
        <w:spacing w:before="156" w:line="276" w:lineRule="auto"/>
        <w:ind w:firstLine="480"/>
        <w:rPr>
          <w:rFonts w:ascii="宋体" w:hAnsi="宋体"/>
          <w:sz w:val="24"/>
          <w:lang w:eastAsia="zh-CN"/>
        </w:rPr>
      </w:pPr>
      <w:r>
        <w:rPr>
          <w:rFonts w:ascii="宋体" w:hAnsi="宋体" w:hint="eastAsia"/>
          <w:sz w:val="24"/>
          <w:highlight w:val="white"/>
          <w:lang w:eastAsia="zh-CN"/>
        </w:rPr>
        <w:t>（四）指令的发送、确认及执行的时间和程序</w:t>
      </w:r>
    </w:p>
    <w:p w:rsidR="00CB176C">
      <w:pPr>
        <w:snapToGrid w:val="0"/>
        <w:spacing w:before="156" w:line="276" w:lineRule="auto"/>
        <w:ind w:firstLine="480"/>
        <w:rPr>
          <w:rFonts w:ascii="宋体" w:hAnsi="宋体"/>
          <w:sz w:val="24"/>
          <w:lang w:eastAsia="zh-CN"/>
        </w:rPr>
      </w:pPr>
      <w:r>
        <w:rPr>
          <w:rFonts w:ascii="宋体" w:hAnsi="宋体" w:hint="eastAsia"/>
          <w:sz w:val="24"/>
          <w:highlight w:val="white"/>
          <w:lang w:eastAsia="zh-CN"/>
        </w:rPr>
        <w:t>指令可以用传真、电子邮件或基金托管人和基金管理人认可的</w:t>
      </w:r>
      <w:r>
        <w:rPr>
          <w:rFonts w:ascii="宋体" w:hAnsi="宋体" w:hint="eastAsia"/>
          <w:sz w:val="24"/>
          <w:highlight w:val="white"/>
          <w:lang w:eastAsia="zh-CN"/>
        </w:rPr>
        <w:t>其他方式</w:t>
      </w:r>
      <w:r>
        <w:rPr>
          <w:rFonts w:ascii="宋体" w:hAnsi="宋体" w:hint="eastAsia"/>
          <w:sz w:val="24"/>
          <w:highlight w:val="white"/>
          <w:lang w:eastAsia="zh-CN"/>
        </w:rPr>
        <w:t>,</w:t>
      </w:r>
      <w:r>
        <w:rPr>
          <w:rFonts w:ascii="宋体" w:hAnsi="宋体" w:hint="eastAsia"/>
          <w:sz w:val="24"/>
          <w:highlight w:val="white"/>
          <w:lang w:eastAsia="zh-CN"/>
        </w:rPr>
        <w:t>向基金托管人发送。基金管理人有义务在发送指令后与基金托管人以录音电话或基金托管人、基金管理人认可的其他方式进行确认。因基金管理人未能及时与基金托管人进行指令确认，致使资金未能及时到账所造成的损失，基金托管人不承担责任。</w:t>
      </w:r>
    </w:p>
    <w:p w:rsidR="00CB176C">
      <w:pPr>
        <w:snapToGrid w:val="0"/>
        <w:spacing w:before="156" w:line="276" w:lineRule="auto"/>
        <w:ind w:firstLine="480"/>
        <w:rPr>
          <w:rFonts w:ascii="宋体" w:hAnsi="宋体"/>
          <w:sz w:val="24"/>
          <w:lang w:eastAsia="zh-CN"/>
        </w:rPr>
      </w:pPr>
      <w:r>
        <w:rPr>
          <w:rFonts w:ascii="宋体" w:hAnsi="宋体" w:hint="eastAsia"/>
          <w:sz w:val="24"/>
          <w:highlight w:val="white"/>
          <w:lang w:eastAsia="zh-CN"/>
        </w:rPr>
        <w:t>对于被授权人依照“授权委托书”发出的指令，基金管理人不得否认其效力。基金管理人应按照相关法律法规以及本托管协议的规定，在其合法的经营权限和交易权限内发送指令，发送人应按照其授权权限发送指令。基金管理人在发送指令时，应为基金托管人留出执行指令所必需的时间。由基金管理人原因造成的指令传</w:t>
      </w:r>
      <w:r>
        <w:rPr>
          <w:rFonts w:ascii="宋体" w:hAnsi="宋体" w:hint="eastAsia"/>
          <w:sz w:val="24"/>
          <w:highlight w:val="white"/>
          <w:lang w:eastAsia="zh-CN"/>
        </w:rPr>
        <w:t>输不及时、未能留出足够划款所需时间，致使资金未能及时到账所造成的损失由基金管理人承担。</w:t>
      </w:r>
    </w:p>
    <w:p w:rsidR="00CB176C">
      <w:pPr>
        <w:snapToGrid w:val="0"/>
        <w:spacing w:before="156" w:line="276" w:lineRule="auto"/>
        <w:ind w:firstLine="480"/>
        <w:rPr>
          <w:rFonts w:ascii="宋体" w:hAnsi="宋体"/>
          <w:sz w:val="24"/>
          <w:lang w:eastAsia="zh-CN"/>
        </w:rPr>
      </w:pPr>
      <w:r>
        <w:rPr>
          <w:rFonts w:ascii="宋体" w:hAnsi="宋体" w:hint="eastAsia"/>
          <w:sz w:val="24"/>
          <w:highlight w:val="white"/>
          <w:lang w:eastAsia="zh-CN"/>
        </w:rPr>
        <w:t>基金托管人收到基金管理人发送的指令后，应对指令进行形式审查，验证指令的书面要素是否齐全、审核印鉴和签名是否和预留印鉴和签名样本相符，复核无误后依据本托管协议约定在规定期限内及时执行。若存在异议或不符，基金托管人有权与基金管理人指定人员进行联系和沟通，并要求基金管理人重新发送经修改的指令。基金托管人有权要求基金管理人提供相关交易凭证、合同或其他有效会计资料，以确保基金托管人有足够的资料来判断指令的有效性。</w:t>
      </w:r>
    </w:p>
    <w:p w:rsidR="00CB176C">
      <w:pPr>
        <w:snapToGrid w:val="0"/>
        <w:spacing w:before="156" w:beforeLines="50"/>
        <w:ind w:firstLine="482"/>
        <w:rPr>
          <w:rFonts w:ascii="宋体" w:hAnsi="宋体"/>
          <w:sz w:val="24"/>
          <w:lang w:eastAsia="zh-CN"/>
        </w:rPr>
      </w:pPr>
      <w:r>
        <w:rPr>
          <w:rFonts w:ascii="宋体" w:hAnsi="宋体" w:hint="eastAsia"/>
          <w:sz w:val="24"/>
          <w:highlight w:val="white"/>
          <w:lang w:eastAsia="zh-CN"/>
        </w:rPr>
        <w:t>基金管理人向基金</w:t>
      </w:r>
      <w:r>
        <w:rPr>
          <w:rFonts w:ascii="宋体" w:hAnsi="宋体" w:hint="eastAsia"/>
          <w:sz w:val="24"/>
          <w:highlight w:val="white"/>
          <w:lang w:eastAsia="zh-CN"/>
        </w:rPr>
        <w:t>托管人下达指令时，应确保本基金相关资金账户有足够的资金余额，对基金管理人在没有充足资金的情况下向基金托管人发出的指令，基金托管人有权拒绝执行，并立即通知基金管理人，基金托管人不承担因为不执行该指令而造成的损失。</w:t>
      </w:r>
    </w:p>
    <w:p w:rsidR="00CB176C">
      <w:pPr>
        <w:snapToGrid w:val="0"/>
        <w:spacing w:before="156" w:beforeLines="50"/>
        <w:ind w:firstLine="482"/>
        <w:rPr>
          <w:rFonts w:ascii="宋体" w:hAnsi="宋体"/>
          <w:sz w:val="24"/>
          <w:lang w:eastAsia="zh-CN"/>
        </w:rPr>
      </w:pPr>
      <w:r>
        <w:rPr>
          <w:rFonts w:ascii="宋体" w:hAnsi="宋体" w:hint="eastAsia"/>
          <w:sz w:val="24"/>
          <w:highlight w:val="white"/>
          <w:lang w:eastAsia="zh-CN"/>
        </w:rPr>
        <w:t>（五）基金管理人发送错误指令的情形和处理程序</w:t>
      </w:r>
    </w:p>
    <w:p w:rsidR="00CB176C">
      <w:pPr>
        <w:snapToGrid w:val="0"/>
        <w:spacing w:before="156" w:beforeLines="50"/>
        <w:ind w:firstLine="482"/>
        <w:rPr>
          <w:rFonts w:ascii="宋体" w:hAnsi="宋体"/>
          <w:sz w:val="24"/>
          <w:lang w:eastAsia="zh-CN"/>
        </w:rPr>
      </w:pPr>
      <w:r>
        <w:rPr>
          <w:rFonts w:ascii="宋体" w:hAnsi="宋体" w:hint="eastAsia"/>
          <w:sz w:val="24"/>
          <w:highlight w:val="white"/>
          <w:lang w:eastAsia="zh-CN"/>
        </w:rPr>
        <w:t>基金管理人发送错误指令的情形包括指令发送人员无权或超越权限发送指令及交割信息错误，指令中重要信息模糊不清或不全等。基金托管人在履行监督职能时，发现基金管理人的指令错误时，有权拒绝执行，并及时通知基金管理人改正，由此造成的损失，基金托管人不承担责任。</w:t>
      </w:r>
    </w:p>
    <w:p w:rsidR="00CB176C">
      <w:pPr>
        <w:snapToGrid w:val="0"/>
        <w:spacing w:before="156" w:line="276" w:lineRule="auto"/>
        <w:ind w:firstLine="480"/>
        <w:rPr>
          <w:rFonts w:ascii="宋体" w:hAnsi="宋体"/>
          <w:sz w:val="24"/>
          <w:lang w:eastAsia="zh-CN"/>
        </w:rPr>
      </w:pPr>
      <w:r>
        <w:rPr>
          <w:rFonts w:ascii="宋体" w:hAnsi="宋体" w:hint="eastAsia"/>
          <w:sz w:val="24"/>
          <w:highlight w:val="white"/>
          <w:lang w:eastAsia="zh-CN"/>
        </w:rPr>
        <w:t>（六</w:t>
      </w:r>
      <w:r>
        <w:rPr>
          <w:rFonts w:ascii="宋体" w:hAnsi="宋体" w:hint="eastAsia"/>
          <w:sz w:val="24"/>
          <w:highlight w:val="white"/>
          <w:lang w:eastAsia="zh-CN"/>
        </w:rPr>
        <w:t>）基金托管人依照法律法规暂缓、拒绝执行指令的情形和处理程序</w:t>
      </w:r>
    </w:p>
    <w:p w:rsidR="00CB176C">
      <w:pPr>
        <w:snapToGrid w:val="0"/>
        <w:spacing w:before="156" w:line="276" w:lineRule="auto"/>
        <w:ind w:firstLine="480"/>
        <w:rPr>
          <w:rFonts w:ascii="宋体" w:hAnsi="宋体"/>
          <w:sz w:val="24"/>
          <w:lang w:eastAsia="zh-CN"/>
        </w:rPr>
      </w:pPr>
      <w:r>
        <w:rPr>
          <w:rFonts w:ascii="宋体" w:hAnsi="宋体" w:hint="eastAsia"/>
          <w:sz w:val="24"/>
          <w:highlight w:val="white"/>
          <w:lang w:eastAsia="zh-CN"/>
        </w:rPr>
        <w:t>基金托管人发现基金管理人发送的指令违反《基金法》、基金合同、本协议或其他有关法律法规的规定时，不予执行，并应及时通知基金管理人纠正，基金管理人收到通知后应及时核对，并以双方认可的形式对基金托管人进行确认，由此造成的损失由基金管理人承担。</w:t>
      </w:r>
    </w:p>
    <w:p w:rsidR="00CB176C">
      <w:pPr>
        <w:snapToGrid w:val="0"/>
        <w:spacing w:before="156" w:line="276" w:lineRule="auto"/>
        <w:ind w:firstLine="480"/>
        <w:rPr>
          <w:rFonts w:ascii="宋体" w:hAnsi="宋体"/>
          <w:sz w:val="24"/>
          <w:lang w:eastAsia="zh-CN"/>
        </w:rPr>
      </w:pPr>
      <w:r>
        <w:rPr>
          <w:rFonts w:ascii="宋体" w:hAnsi="宋体" w:hint="eastAsia"/>
          <w:sz w:val="24"/>
          <w:highlight w:val="white"/>
          <w:lang w:eastAsia="zh-CN"/>
        </w:rPr>
        <w:t>（七）基金托管人未按照基金管理人指令执行的处理方法</w:t>
      </w:r>
    </w:p>
    <w:p w:rsidR="00CB176C">
      <w:pPr>
        <w:snapToGrid w:val="0"/>
        <w:spacing w:before="156" w:line="276" w:lineRule="auto"/>
        <w:ind w:firstLine="480"/>
        <w:rPr>
          <w:rFonts w:ascii="宋体" w:hAnsi="宋体"/>
          <w:sz w:val="24"/>
          <w:lang w:eastAsia="zh-CN"/>
        </w:rPr>
      </w:pPr>
      <w:r>
        <w:rPr>
          <w:rFonts w:ascii="宋体" w:hAnsi="宋体" w:hint="eastAsia"/>
          <w:bCs/>
          <w:sz w:val="24"/>
          <w:highlight w:val="white"/>
          <w:lang w:eastAsia="zh-CN"/>
        </w:rPr>
        <w:t>基金托管人因未正确执行基金管理人合法合规的指令，致使本基金的利益受到损害，基金托管人应承担相应的责任。除此之外，基金托管人对执行基金管理人的合法合规指令对基金造成</w:t>
      </w:r>
      <w:r>
        <w:rPr>
          <w:rFonts w:ascii="宋体" w:hAnsi="宋体" w:hint="eastAsia"/>
          <w:bCs/>
          <w:sz w:val="24"/>
          <w:highlight w:val="white"/>
          <w:lang w:eastAsia="zh-CN"/>
        </w:rPr>
        <w:t>的损失不承担任何责任。</w:t>
      </w:r>
    </w:p>
    <w:p w:rsidR="00CB176C">
      <w:pPr>
        <w:snapToGrid w:val="0"/>
        <w:spacing w:before="156" w:line="276" w:lineRule="auto"/>
        <w:ind w:firstLine="480"/>
        <w:rPr>
          <w:rFonts w:ascii="宋体" w:hAnsi="宋体"/>
          <w:sz w:val="24"/>
          <w:lang w:eastAsia="zh-CN"/>
        </w:rPr>
      </w:pPr>
      <w:r>
        <w:rPr>
          <w:rFonts w:ascii="宋体" w:hAnsi="宋体" w:hint="eastAsia"/>
          <w:sz w:val="24"/>
          <w:highlight w:val="white"/>
          <w:lang w:eastAsia="zh-CN"/>
        </w:rPr>
        <w:t>（八）更换指令被授权人的程序</w:t>
      </w:r>
    </w:p>
    <w:p w:rsidR="00CB176C">
      <w:pPr>
        <w:tabs>
          <w:tab w:val="left" w:pos="5292"/>
        </w:tabs>
        <w:snapToGrid w:val="0"/>
        <w:spacing w:before="156" w:line="276" w:lineRule="auto"/>
        <w:ind w:firstLine="480"/>
        <w:rPr>
          <w:rFonts w:ascii="宋体" w:hAnsi="宋体"/>
          <w:sz w:val="24"/>
          <w:lang w:eastAsia="zh-CN"/>
        </w:rPr>
      </w:pPr>
      <w:r>
        <w:rPr>
          <w:rFonts w:ascii="宋体" w:hAnsi="宋体" w:hint="eastAsia"/>
          <w:sz w:val="24"/>
          <w:highlight w:val="white"/>
          <w:lang w:eastAsia="zh-CN"/>
        </w:rPr>
        <w:t>基金管理人撤换被授权人或改变被授权人的权限，必须提前至少</w:t>
      </w:r>
      <w:r>
        <w:rPr>
          <w:rFonts w:ascii="宋体" w:hAnsi="宋体"/>
          <w:sz w:val="24"/>
          <w:highlight w:val="white"/>
          <w:lang w:eastAsia="zh-CN"/>
        </w:rPr>
        <w:t>[</w:t>
      </w:r>
      <w:r>
        <w:rPr>
          <w:rFonts w:ascii="宋体" w:hAnsi="宋体" w:hint="eastAsia"/>
          <w:sz w:val="24"/>
          <w:highlight w:val="white"/>
          <w:lang w:eastAsia="zh-CN"/>
        </w:rPr>
        <w:t>一个工作日</w:t>
      </w:r>
      <w:r>
        <w:rPr>
          <w:rFonts w:ascii="宋体" w:hAnsi="宋体" w:hint="eastAsia"/>
          <w:sz w:val="24"/>
          <w:highlight w:val="white"/>
          <w:lang w:eastAsia="zh-CN"/>
        </w:rPr>
        <w:t>]</w:t>
      </w:r>
      <w:r>
        <w:rPr>
          <w:rFonts w:ascii="宋体" w:hAnsi="宋体" w:hint="eastAsia"/>
          <w:sz w:val="24"/>
          <w:highlight w:val="white"/>
          <w:lang w:eastAsia="zh-CN"/>
        </w:rPr>
        <w:t>，提供原件或其他基金托管人认可的方式向基金托管人发出由有权签字人签字或盖章并加盖公章的授权委托书，并提供新被授权人签字或印章样本，同时电话通知基金托管人。变更被授权人的授权委托书须载明新授权生效日期。变更被授权人的授权委托书，自授权委托书载明的生效时间开始生效。</w:t>
      </w:r>
      <w:bookmarkStart w:id="86" w:name="OLE_LINK8"/>
      <w:r>
        <w:rPr>
          <w:rFonts w:ascii="宋体" w:hAnsi="宋体" w:hint="eastAsia"/>
          <w:sz w:val="24"/>
          <w:highlight w:val="white"/>
          <w:lang w:eastAsia="zh-CN"/>
        </w:rPr>
        <w:t>基金托管人收到授权委托书的日期晚于变更的授权委托书载明的生效日期的，则自基金托管人收到该授权委托书时生效。</w:t>
      </w:r>
      <w:bookmarkEnd w:id="86"/>
    </w:p>
    <w:p w:rsidR="00CB176C">
      <w:pPr>
        <w:tabs>
          <w:tab w:val="left" w:pos="5292"/>
        </w:tabs>
        <w:snapToGrid w:val="0"/>
        <w:spacing w:before="156" w:line="276" w:lineRule="auto"/>
        <w:ind w:firstLine="480"/>
        <w:rPr>
          <w:rFonts w:ascii="宋体" w:hAnsi="宋体"/>
          <w:sz w:val="24"/>
          <w:lang w:eastAsia="zh-CN"/>
        </w:rPr>
      </w:pPr>
      <w:r>
        <w:rPr>
          <w:rFonts w:ascii="宋体" w:hAnsi="宋体" w:hint="eastAsia"/>
          <w:sz w:val="24"/>
          <w:highlight w:val="white"/>
          <w:lang w:eastAsia="zh-CN"/>
        </w:rPr>
        <w:t>（</w:t>
      </w:r>
      <w:r>
        <w:rPr>
          <w:rFonts w:ascii="宋体" w:hAnsi="宋体"/>
          <w:sz w:val="24"/>
          <w:highlight w:val="white"/>
          <w:lang w:eastAsia="zh-CN"/>
        </w:rPr>
        <w:t>九</w:t>
      </w:r>
      <w:r>
        <w:rPr>
          <w:rFonts w:ascii="宋体" w:hAnsi="宋体" w:hint="eastAsia"/>
          <w:sz w:val="24"/>
          <w:highlight w:val="white"/>
          <w:lang w:eastAsia="zh-CN"/>
        </w:rPr>
        <w:t>）指令的保管</w:t>
      </w:r>
    </w:p>
    <w:p w:rsidR="00CB176C">
      <w:pPr>
        <w:tabs>
          <w:tab w:val="left" w:pos="5292"/>
        </w:tabs>
        <w:snapToGrid w:val="0"/>
        <w:spacing w:before="156" w:line="276" w:lineRule="auto"/>
        <w:ind w:firstLine="480"/>
        <w:rPr>
          <w:rFonts w:ascii="宋体" w:hAnsi="宋体"/>
          <w:sz w:val="24"/>
          <w:lang w:eastAsia="zh-CN"/>
        </w:rPr>
      </w:pPr>
      <w:r>
        <w:rPr>
          <w:rFonts w:ascii="宋体" w:hAnsi="宋体"/>
          <w:sz w:val="24"/>
          <w:highlight w:val="white"/>
          <w:lang w:eastAsia="zh-CN"/>
        </w:rPr>
        <w:t>指令若以传真、电子邮件或基金管理人和基金托管人认可的其他形式发出</w:t>
      </w:r>
      <w:r>
        <w:rPr>
          <w:rFonts w:ascii="宋体" w:hAnsi="宋体"/>
          <w:sz w:val="24"/>
          <w:highlight w:val="white"/>
          <w:lang w:eastAsia="zh-CN"/>
        </w:rPr>
        <w:t xml:space="preserve">, </w:t>
      </w:r>
      <w:r>
        <w:rPr>
          <w:rFonts w:ascii="宋体" w:hAnsi="宋体"/>
          <w:sz w:val="24"/>
          <w:highlight w:val="white"/>
          <w:lang w:eastAsia="zh-CN"/>
        </w:rPr>
        <w:t>则正本由基金管理人保管，基金托管人保管指令传真件。当两者不一致时</w:t>
      </w:r>
      <w:r>
        <w:rPr>
          <w:rFonts w:ascii="宋体" w:hAnsi="宋体"/>
          <w:sz w:val="24"/>
          <w:highlight w:val="white"/>
          <w:lang w:eastAsia="zh-CN"/>
        </w:rPr>
        <w:t>,</w:t>
      </w:r>
      <w:r>
        <w:rPr>
          <w:rFonts w:ascii="宋体" w:hAnsi="宋体"/>
          <w:sz w:val="24"/>
          <w:highlight w:val="white"/>
          <w:lang w:eastAsia="zh-CN"/>
        </w:rPr>
        <w:t>以基金托管人收到的指令传真件或扫描件为准</w:t>
      </w:r>
      <w:r>
        <w:rPr>
          <w:rFonts w:ascii="宋体" w:hAnsi="宋体"/>
          <w:sz w:val="24"/>
          <w:highlight w:val="white"/>
          <w:lang w:eastAsia="zh-CN"/>
        </w:rPr>
        <w:t>,</w:t>
      </w:r>
      <w:r>
        <w:rPr>
          <w:rFonts w:ascii="宋体" w:hAnsi="宋体"/>
          <w:sz w:val="24"/>
          <w:highlight w:val="white"/>
          <w:lang w:eastAsia="zh-CN"/>
        </w:rPr>
        <w:t>由此产生的任何损失</w:t>
      </w:r>
      <w:r>
        <w:rPr>
          <w:rFonts w:ascii="宋体" w:hAnsi="宋体"/>
          <w:sz w:val="24"/>
          <w:highlight w:val="white"/>
          <w:lang w:eastAsia="zh-CN"/>
        </w:rPr>
        <w:t>,</w:t>
      </w:r>
      <w:r>
        <w:rPr>
          <w:rFonts w:ascii="宋体" w:hAnsi="宋体"/>
          <w:sz w:val="24"/>
          <w:highlight w:val="white"/>
          <w:lang w:eastAsia="zh-CN"/>
        </w:rPr>
        <w:t>基金托管人不承担责任。</w:t>
      </w:r>
    </w:p>
    <w:p w:rsidR="00CB176C">
      <w:pPr>
        <w:tabs>
          <w:tab w:val="left" w:pos="5292"/>
        </w:tabs>
        <w:snapToGrid w:val="0"/>
        <w:spacing w:before="156" w:line="276" w:lineRule="auto"/>
        <w:ind w:firstLine="480"/>
        <w:rPr>
          <w:rFonts w:ascii="宋体" w:hAnsi="宋体"/>
          <w:sz w:val="24"/>
          <w:lang w:eastAsia="zh-CN"/>
        </w:rPr>
      </w:pPr>
      <w:r>
        <w:rPr>
          <w:rFonts w:ascii="宋体" w:hAnsi="宋体" w:hint="eastAsia"/>
          <w:sz w:val="24"/>
          <w:highlight w:val="white"/>
          <w:lang w:eastAsia="zh-CN"/>
        </w:rPr>
        <w:t>（</w:t>
      </w:r>
      <w:r>
        <w:rPr>
          <w:rFonts w:ascii="宋体" w:hAnsi="宋体"/>
          <w:sz w:val="24"/>
          <w:highlight w:val="white"/>
          <w:lang w:eastAsia="zh-CN"/>
        </w:rPr>
        <w:t>十</w:t>
      </w:r>
      <w:r>
        <w:rPr>
          <w:rFonts w:ascii="宋体" w:hAnsi="宋体" w:hint="eastAsia"/>
          <w:sz w:val="24"/>
          <w:highlight w:val="white"/>
          <w:lang w:eastAsia="zh-CN"/>
        </w:rPr>
        <w:t>）其他相关责任</w:t>
      </w:r>
    </w:p>
    <w:p w:rsidR="00CB176C">
      <w:pPr>
        <w:tabs>
          <w:tab w:val="left" w:pos="5292"/>
        </w:tabs>
        <w:snapToGrid w:val="0"/>
        <w:spacing w:before="156" w:line="276" w:lineRule="auto"/>
        <w:ind w:firstLine="480"/>
        <w:rPr>
          <w:rFonts w:ascii="宋体" w:hAnsi="宋体"/>
          <w:sz w:val="24"/>
          <w:lang w:eastAsia="zh-CN"/>
        </w:rPr>
      </w:pPr>
      <w:r>
        <w:rPr>
          <w:rFonts w:ascii="宋体" w:hAnsi="宋体" w:hint="eastAsia"/>
          <w:sz w:val="24"/>
          <w:highlight w:val="white"/>
          <w:lang w:eastAsia="zh-CN"/>
        </w:rPr>
        <w:t>基金托管人已依据本托管协议的约定对基金管理人提交的指令进行表面一致性审查，并正确执行基金管理人符合本托管协议规定、合法合规的指令，造成基金财产发生损失的，基金托管人不承担任何形式的责任。为避免歧义，基金托管人不负责审查基金管理人发送指令同时提交的其他文件资料的合法性</w:t>
      </w:r>
      <w:r>
        <w:rPr>
          <w:rFonts w:ascii="宋体" w:hAnsi="宋体" w:hint="eastAsia"/>
          <w:sz w:val="24"/>
          <w:highlight w:val="white"/>
          <w:lang w:eastAsia="zh-CN"/>
        </w:rPr>
        <w:t>、真实性、完整性和有效性，基金管理人应保证上述文件资料合法、真实、完整和有效。如因基金管理人提供的上述文件不合法、不真实、不完整或失去效力而影响基金托管人的审核或给任何第三人带来损失，基金托管人不承担任何形式的责任。</w:t>
      </w:r>
    </w:p>
    <w:p w:rsidR="00CB176C">
      <w:pPr>
        <w:tabs>
          <w:tab w:val="left" w:pos="5292"/>
        </w:tabs>
        <w:snapToGrid w:val="0"/>
        <w:spacing w:before="156" w:line="276" w:lineRule="auto"/>
        <w:ind w:firstLine="480"/>
        <w:rPr>
          <w:rFonts w:ascii="宋体" w:hAnsi="宋体"/>
          <w:sz w:val="24"/>
          <w:lang w:eastAsia="zh-CN"/>
        </w:rPr>
      </w:pPr>
      <w:r>
        <w:rPr>
          <w:rFonts w:ascii="宋体" w:hAnsi="宋体" w:hint="eastAsia"/>
          <w:sz w:val="24"/>
          <w:highlight w:val="white"/>
          <w:lang w:eastAsia="zh-CN"/>
        </w:rPr>
        <w:t>如果基金管理人的指令存在事实上未经授权、欺诈、伪造等情形，只要基金托管人根据本托管协议相关规定验证有关印鉴与签名无误，基金托管人不承担因正确执行有关指令而给基金管理人、基金财产、投资者、基金托管人或任何第三人带来的损失，全部责任由基金管理人承担。</w:t>
      </w:r>
    </w:p>
    <w:p w:rsidR="00CB176C">
      <w:pPr>
        <w:tabs>
          <w:tab w:val="left" w:pos="5292"/>
        </w:tabs>
        <w:snapToGrid w:val="0"/>
        <w:spacing w:before="156" w:line="276" w:lineRule="auto"/>
        <w:ind w:firstLine="480"/>
        <w:rPr>
          <w:rFonts w:ascii="宋体" w:hAnsi="宋体"/>
          <w:sz w:val="24"/>
          <w:lang w:eastAsia="zh-CN"/>
        </w:rPr>
      </w:pPr>
    </w:p>
    <w:p w:rsidR="00CB176C">
      <w:pPr>
        <w:pStyle w:val="Heading2"/>
        <w:spacing w:before="0" w:after="156" w:afterLines="50" w:line="288" w:lineRule="auto"/>
        <w:jc w:val="center"/>
        <w:rPr>
          <w:rFonts w:ascii="宋体" w:eastAsia="宋体" w:hAnsi="宋体"/>
          <w:sz w:val="30"/>
          <w:lang w:eastAsia="zh-CN"/>
        </w:rPr>
      </w:pPr>
      <w:bookmarkStart w:id="87" w:name="_Toc84234390"/>
      <w:bookmarkStart w:id="88" w:name="_Toc84234437"/>
      <w:bookmarkStart w:id="89" w:name="_Toc86649725"/>
      <w:bookmarkStart w:id="90" w:name="_Toc86726442"/>
      <w:bookmarkStart w:id="91" w:name="_Toc86727358"/>
      <w:bookmarkStart w:id="92" w:name="_Toc86737932"/>
      <w:bookmarkStart w:id="93" w:name="_Toc86223245"/>
      <w:bookmarkStart w:id="94" w:name="_Toc86225294"/>
      <w:bookmarkStart w:id="95" w:name="_Toc84133788"/>
      <w:bookmarkStart w:id="96" w:name="_Toc86204791"/>
      <w:bookmarkStart w:id="97" w:name="_Toc110830495"/>
      <w:bookmarkStart w:id="98" w:name="_Toc118212953"/>
      <w:bookmarkStart w:id="99" w:name="_Toc118774806"/>
      <w:bookmarkStart w:id="100" w:name="_Toc118972651"/>
      <w:bookmarkStart w:id="101" w:name="_Toc119402713"/>
      <w:bookmarkStart w:id="102" w:name="_Toc120435786"/>
      <w:bookmarkStart w:id="103" w:name="_Toc110761799"/>
      <w:bookmarkStart w:id="104" w:name="_Toc110765663"/>
      <w:bookmarkStart w:id="105" w:name="_Toc89163371"/>
      <w:bookmarkStart w:id="106" w:name="_Toc108512361"/>
      <w:bookmarkStart w:id="107" w:name="_Toc205489768"/>
      <w:r>
        <w:rPr>
          <w:rFonts w:ascii="宋体" w:eastAsia="宋体" w:hAnsi="宋体" w:hint="eastAsia"/>
          <w:sz w:val="30"/>
          <w:highlight w:val="white"/>
          <w:lang w:eastAsia="zh-CN"/>
        </w:rPr>
        <w:t>七、</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Pr>
          <w:rFonts w:ascii="宋体" w:eastAsia="宋体" w:hAnsi="宋体" w:hint="eastAsia"/>
          <w:sz w:val="30"/>
          <w:highlight w:val="white"/>
          <w:lang w:eastAsia="zh-CN"/>
        </w:rPr>
        <w:t>交易及清算交收安排</w:t>
      </w:r>
      <w:bookmarkEnd w:id="107"/>
    </w:p>
    <w:p w:rsidR="00CB176C">
      <w:pPr>
        <w:pStyle w:val="NormalIndent"/>
        <w:rPr>
          <w:lang w:eastAsia="zh-CN"/>
        </w:rPr>
      </w:pPr>
    </w:p>
    <w:p w:rsidR="00CB176C">
      <w:pPr>
        <w:snapToGrid w:val="0"/>
        <w:spacing w:after="156" w:afterLines="50" w:line="288" w:lineRule="auto"/>
        <w:ind w:firstLine="480"/>
        <w:rPr>
          <w:rFonts w:ascii="宋体" w:hAnsi="宋体" w:cs="Arial"/>
          <w:sz w:val="24"/>
          <w:lang w:eastAsia="zh-CN"/>
        </w:rPr>
      </w:pPr>
      <w:r>
        <w:rPr>
          <w:rFonts w:ascii="宋体" w:hAnsi="宋体" w:cs="Arial" w:hint="eastAsia"/>
          <w:sz w:val="24"/>
          <w:highlight w:val="white"/>
          <w:lang w:eastAsia="zh-CN"/>
        </w:rPr>
        <w:t>（</w:t>
      </w:r>
      <w:r>
        <w:rPr>
          <w:rFonts w:ascii="宋体" w:hAnsi="宋体" w:cs="Arial" w:hint="eastAsia"/>
          <w:sz w:val="24"/>
          <w:highlight w:val="white"/>
          <w:lang w:eastAsia="zh-CN"/>
        </w:rPr>
        <w:t>一）选择证券、期货买卖的证券、期货经纪机构</w:t>
      </w:r>
    </w:p>
    <w:p w:rsidR="00CB176C">
      <w:pPr>
        <w:snapToGrid w:val="0"/>
        <w:spacing w:after="156" w:afterLines="50" w:line="288" w:lineRule="auto"/>
        <w:ind w:firstLine="480"/>
        <w:rPr>
          <w:rFonts w:ascii="宋体" w:hAnsi="宋体" w:cs="Arial"/>
          <w:sz w:val="24"/>
          <w:lang w:eastAsia="zh-CN"/>
        </w:rPr>
      </w:pPr>
      <w:r>
        <w:rPr>
          <w:rFonts w:ascii="宋体" w:hAnsi="宋体" w:cs="Arial" w:hint="eastAsia"/>
          <w:sz w:val="24"/>
          <w:highlight w:val="white"/>
          <w:lang w:eastAsia="zh-CN"/>
        </w:rPr>
        <w:t>基金管理人应设计选择证券买卖的证券经纪机构的标准和程序。基金管理人负责选择证券经纪机构，基金管理人、</w:t>
      </w:r>
      <w:r>
        <w:rPr>
          <w:rFonts w:ascii="宋体" w:hAnsi="宋体" w:hint="eastAsia"/>
          <w:sz w:val="24"/>
          <w:highlight w:val="white"/>
          <w:lang w:eastAsia="zh-CN"/>
        </w:rPr>
        <w:t>基金托管人</w:t>
      </w:r>
      <w:r>
        <w:rPr>
          <w:rFonts w:ascii="宋体" w:hAnsi="宋体" w:cs="Arial" w:hint="eastAsia"/>
          <w:sz w:val="24"/>
          <w:highlight w:val="white"/>
          <w:lang w:eastAsia="zh-CN"/>
        </w:rPr>
        <w:t>和被选中的证券经纪机构签订证券经纪服务协议，基金管理人应提前通知基金托管人，并依据基金托管人要求提供相关资料，以便基金托管人申请办理接收结算数据手续。</w:t>
      </w:r>
    </w:p>
    <w:p w:rsidR="00CB176C">
      <w:pPr>
        <w:snapToGrid w:val="0"/>
        <w:spacing w:after="156" w:afterLines="50" w:line="288" w:lineRule="auto"/>
        <w:ind w:firstLine="480"/>
        <w:rPr>
          <w:rFonts w:ascii="宋体" w:hAnsi="宋体" w:cs="Arial"/>
          <w:sz w:val="24"/>
          <w:lang w:eastAsia="zh-CN"/>
        </w:rPr>
      </w:pPr>
      <w:r>
        <w:rPr>
          <w:rFonts w:ascii="宋体" w:hAnsi="宋体" w:cs="Arial" w:hint="eastAsia"/>
          <w:sz w:val="24"/>
          <w:highlight w:val="white"/>
          <w:lang w:eastAsia="zh-CN"/>
        </w:rPr>
        <w:t>基金管理人负责选择代理本基金期货交易的期货经纪机构，并与其签订期货经纪协议，其他事宜根据法律法规、基金合同的相关规定执行，若无明确规定的，可参照有关证券买卖</w:t>
      </w:r>
      <w:r>
        <w:rPr>
          <w:rFonts w:ascii="宋体" w:hAnsi="宋体" w:cs="Arial" w:hint="eastAsia"/>
          <w:sz w:val="24"/>
          <w:highlight w:val="white"/>
          <w:lang w:eastAsia="zh-CN"/>
        </w:rPr>
        <w:t>、</w:t>
      </w:r>
      <w:r>
        <w:rPr>
          <w:rFonts w:ascii="宋体" w:hAnsi="宋体" w:cs="Arial" w:hint="eastAsia"/>
          <w:sz w:val="24"/>
          <w:highlight w:val="white"/>
          <w:lang w:eastAsia="zh-CN"/>
        </w:rPr>
        <w:t>证券经纪机构选择的</w:t>
      </w:r>
      <w:bookmarkStart w:id="108" w:name="_GoBack"/>
      <w:bookmarkEnd w:id="108"/>
      <w:r>
        <w:rPr>
          <w:rFonts w:ascii="宋体" w:hAnsi="宋体" w:cs="Arial" w:hint="eastAsia"/>
          <w:sz w:val="24"/>
          <w:highlight w:val="white"/>
          <w:lang w:eastAsia="zh-CN"/>
        </w:rPr>
        <w:t>规则执行。</w:t>
      </w:r>
    </w:p>
    <w:p w:rsidR="00CB176C">
      <w:pPr>
        <w:snapToGrid w:val="0"/>
        <w:spacing w:after="156" w:afterLines="50" w:line="288" w:lineRule="auto"/>
        <w:ind w:firstLine="480"/>
        <w:rPr>
          <w:rFonts w:ascii="宋体" w:hAnsi="宋体" w:cs="Arial"/>
          <w:sz w:val="24"/>
          <w:lang w:eastAsia="zh-CN"/>
        </w:rPr>
      </w:pPr>
      <w:r>
        <w:rPr>
          <w:rFonts w:ascii="宋体" w:hAnsi="宋体" w:cs="Arial" w:hint="eastAsia"/>
          <w:sz w:val="24"/>
          <w:highlight w:val="white"/>
          <w:lang w:eastAsia="zh-CN"/>
        </w:rPr>
        <w:t>（二）基金投资证</w:t>
      </w:r>
      <w:r>
        <w:rPr>
          <w:rFonts w:ascii="宋体" w:hAnsi="宋体" w:cs="Arial" w:hint="eastAsia"/>
          <w:sz w:val="24"/>
          <w:highlight w:val="white"/>
          <w:lang w:eastAsia="zh-CN"/>
        </w:rPr>
        <w:t>券后的清算交收安排</w:t>
      </w:r>
    </w:p>
    <w:p w:rsidR="00CB176C">
      <w:pPr>
        <w:snapToGrid w:val="0"/>
        <w:spacing w:line="300" w:lineRule="auto"/>
        <w:ind w:firstLine="480" w:firstLineChars="200"/>
        <w:rPr>
          <w:rFonts w:ascii="宋体" w:hAnsi="宋体" w:cs="Arial"/>
          <w:sz w:val="24"/>
          <w:lang w:eastAsia="zh-CN"/>
        </w:rPr>
      </w:pPr>
      <w:r>
        <w:rPr>
          <w:rFonts w:ascii="宋体" w:hAnsi="宋体" w:cs="Arial" w:hint="eastAsia"/>
          <w:sz w:val="24"/>
          <w:highlight w:val="white"/>
          <w:lang w:eastAsia="zh-CN"/>
        </w:rPr>
        <w:t>1</w:t>
      </w:r>
      <w:r>
        <w:rPr>
          <w:rFonts w:ascii="宋体" w:hAnsi="宋体" w:cs="Arial" w:hint="eastAsia"/>
          <w:sz w:val="24"/>
          <w:highlight w:val="white"/>
          <w:lang w:eastAsia="zh-CN"/>
        </w:rPr>
        <w:t>．交易所证券交易的结算</w:t>
      </w:r>
    </w:p>
    <w:p w:rsidR="00CB176C">
      <w:pPr>
        <w:snapToGrid w:val="0"/>
        <w:spacing w:line="300" w:lineRule="auto"/>
        <w:ind w:firstLine="480" w:firstLineChars="200"/>
        <w:rPr>
          <w:rFonts w:ascii="宋体" w:hAnsi="宋体" w:cs="Arial"/>
          <w:sz w:val="24"/>
          <w:lang w:eastAsia="zh-CN"/>
        </w:rPr>
      </w:pPr>
      <w:r>
        <w:rPr>
          <w:rFonts w:ascii="宋体" w:hAnsi="宋体" w:cs="Arial" w:hint="eastAsia"/>
          <w:sz w:val="24"/>
          <w:highlight w:val="white"/>
          <w:lang w:eastAsia="zh-CN"/>
        </w:rPr>
        <w:t>本基金采用券商结算模式，即投资于证券发生的交易所场内交易的清算交收，由基金管理人委托代理证券买卖的证券经纪机构根据相关登记结算公司的结算规则办理。因基金托管人不参与交易所的结算，仅限于根据基金管理人的指令，将交易结算资金在托管账户、第三方存管银行的银行结算账户及证券经纪机构的证券资金账户之间进行资金划转。</w:t>
      </w:r>
    </w:p>
    <w:p w:rsidR="00CB176C">
      <w:pPr>
        <w:snapToGrid w:val="0"/>
        <w:spacing w:line="300" w:lineRule="auto"/>
        <w:ind w:firstLine="480" w:firstLineChars="200"/>
        <w:rPr>
          <w:rFonts w:ascii="宋体" w:hAnsi="宋体" w:cs="Arial"/>
          <w:sz w:val="24"/>
          <w:lang w:eastAsia="zh-CN"/>
        </w:rPr>
      </w:pPr>
      <w:r>
        <w:rPr>
          <w:rFonts w:ascii="宋体" w:hAnsi="宋体" w:cs="Arial" w:hint="eastAsia"/>
          <w:sz w:val="24"/>
          <w:highlight w:val="white"/>
          <w:lang w:eastAsia="zh-CN"/>
        </w:rPr>
        <w:t>采取券商结算模式的证券交易结算资金由相关证券经纪机构和存管银行保管</w:t>
      </w:r>
      <w:r>
        <w:rPr>
          <w:rFonts w:ascii="宋体" w:hAnsi="宋体" w:cs="Arial" w:hint="eastAsia"/>
          <w:sz w:val="24"/>
          <w:highlight w:val="white"/>
          <w:lang w:eastAsia="zh-CN"/>
        </w:rPr>
        <w:t>,</w:t>
      </w:r>
      <w:r>
        <w:rPr>
          <w:rFonts w:ascii="宋体" w:hAnsi="宋体" w:cs="Arial" w:hint="eastAsia"/>
          <w:sz w:val="24"/>
          <w:highlight w:val="white"/>
          <w:lang w:eastAsia="zh-CN"/>
        </w:rPr>
        <w:t>并由证券经纪机构作为结算参与人承担与结算公司的最终交收责任。基金托管人不负责办理场内的证券</w:t>
      </w:r>
      <w:r>
        <w:rPr>
          <w:rFonts w:ascii="宋体" w:hAnsi="宋体" w:cs="Arial" w:hint="eastAsia"/>
          <w:sz w:val="24"/>
          <w:highlight w:val="white"/>
          <w:lang w:eastAsia="zh-CN"/>
        </w:rPr>
        <w:t>交易资金清算，也不负责保管证券资金账户内存放的资金。对于证券经纪机构、存管银行等第三方的原因导致的损失，基金托管人不承担责任。</w:t>
      </w:r>
    </w:p>
    <w:p w:rsidR="00CB176C">
      <w:pPr>
        <w:snapToGrid w:val="0"/>
        <w:spacing w:line="300" w:lineRule="auto"/>
        <w:ind w:firstLine="480" w:firstLineChars="200"/>
        <w:rPr>
          <w:rFonts w:ascii="宋体" w:hAnsi="宋体" w:cs="Arial"/>
          <w:sz w:val="24"/>
          <w:lang w:eastAsia="zh-CN"/>
        </w:rPr>
      </w:pPr>
      <w:r>
        <w:rPr>
          <w:rFonts w:ascii="宋体" w:hAnsi="宋体" w:cs="Arial"/>
          <w:sz w:val="24"/>
          <w:highlight w:val="white"/>
          <w:lang w:eastAsia="zh-CN"/>
        </w:rPr>
        <w:t>2</w:t>
      </w:r>
      <w:r>
        <w:rPr>
          <w:rFonts w:ascii="宋体" w:hAnsi="宋体" w:cs="Arial" w:hint="eastAsia"/>
          <w:sz w:val="24"/>
          <w:highlight w:val="white"/>
          <w:lang w:eastAsia="zh-CN"/>
        </w:rPr>
        <w:t>．银行间市场交易的结算</w:t>
      </w:r>
    </w:p>
    <w:p w:rsidR="00CB176C">
      <w:pPr>
        <w:snapToGrid w:val="0"/>
        <w:spacing w:line="300" w:lineRule="auto"/>
        <w:ind w:firstLine="480" w:firstLineChars="200"/>
        <w:rPr>
          <w:rFonts w:ascii="宋体" w:hAnsi="宋体" w:cs="Arial"/>
          <w:sz w:val="24"/>
          <w:lang w:eastAsia="zh-CN"/>
        </w:rPr>
      </w:pPr>
      <w:r>
        <w:rPr>
          <w:rFonts w:ascii="宋体" w:hAnsi="宋体" w:cs="Arial" w:hint="eastAsia"/>
          <w:sz w:val="24"/>
          <w:highlight w:val="white"/>
          <w:lang w:eastAsia="zh-CN"/>
        </w:rPr>
        <w:t>基金管理人在银行间债券市场的交易由基金管理人自行负责。本基金投资于银行间市场交易的结算，由基金托管人负责办理。银行间市场的交易由基金托管人接收基金管理人的书面指令，依据书面指令收付款项。如需发送成交单的，基金管理人应在交易结束后将银行间同业市场债券交易成交单经有权人员签字并加盖印章后及时发送给基金托管人。如不需采用发送交易成交单的形式，基金管理人应对基金托</w:t>
      </w:r>
      <w:r>
        <w:rPr>
          <w:rFonts w:ascii="宋体" w:hAnsi="宋体" w:cs="Arial" w:hint="eastAsia"/>
          <w:sz w:val="24"/>
          <w:highlight w:val="white"/>
          <w:lang w:eastAsia="zh-CN"/>
        </w:rPr>
        <w:t>管人进行书面授权确保交易数据从外汇交易中心获得。如果银行间簿记系统已经生成的交易需要取消或终止，基金管理人需通过邮件、传真等双方协商一致的形式通知基金托管人。</w:t>
      </w:r>
    </w:p>
    <w:p w:rsidR="00CB176C">
      <w:pPr>
        <w:snapToGrid w:val="0"/>
        <w:spacing w:line="300" w:lineRule="auto"/>
        <w:ind w:firstLine="480" w:firstLineChars="200"/>
        <w:rPr>
          <w:rFonts w:ascii="宋体" w:hAnsi="宋体" w:cs="Arial"/>
          <w:sz w:val="24"/>
          <w:lang w:eastAsia="zh-CN"/>
        </w:rPr>
      </w:pPr>
      <w:r>
        <w:rPr>
          <w:rFonts w:ascii="宋体" w:hAnsi="宋体" w:cs="Arial"/>
          <w:sz w:val="24"/>
          <w:highlight w:val="white"/>
          <w:lang w:eastAsia="zh-CN"/>
        </w:rPr>
        <w:t>3.</w:t>
      </w:r>
      <w:r>
        <w:rPr>
          <w:rFonts w:ascii="宋体" w:hAnsi="宋体" w:cs="Arial" w:hint="eastAsia"/>
          <w:sz w:val="24"/>
          <w:highlight w:val="white"/>
          <w:lang w:eastAsia="zh-CN"/>
        </w:rPr>
        <w:t>期货投资交易的结算</w:t>
      </w:r>
    </w:p>
    <w:p w:rsidR="00CB176C">
      <w:pPr>
        <w:snapToGrid w:val="0"/>
        <w:spacing w:line="300" w:lineRule="auto"/>
        <w:ind w:firstLine="480" w:firstLineChars="200"/>
        <w:rPr>
          <w:rFonts w:ascii="宋体" w:hAnsi="宋体" w:cs="Arial"/>
          <w:sz w:val="24"/>
          <w:lang w:eastAsia="zh-CN"/>
        </w:rPr>
      </w:pPr>
      <w:r>
        <w:rPr>
          <w:rFonts w:ascii="宋体" w:hAnsi="宋体" w:cs="Arial" w:hint="eastAsia"/>
          <w:sz w:val="24"/>
          <w:highlight w:val="white"/>
          <w:lang w:eastAsia="zh-CN"/>
        </w:rPr>
        <w:t>本基金投资于期货前，基金管理人负责为本基金开立相关期货账户。基金管理人、期货</w:t>
      </w:r>
      <w:r>
        <w:rPr>
          <w:rFonts w:ascii="宋体" w:hAnsi="宋体" w:cs="Arial"/>
          <w:sz w:val="24"/>
          <w:highlight w:val="white"/>
          <w:lang w:eastAsia="zh-CN"/>
        </w:rPr>
        <w:t>经纪</w:t>
      </w:r>
      <w:r>
        <w:rPr>
          <w:rFonts w:ascii="宋体" w:hAnsi="宋体" w:cs="Arial" w:hint="eastAsia"/>
          <w:sz w:val="24"/>
          <w:highlight w:val="white"/>
          <w:lang w:eastAsia="zh-CN"/>
        </w:rPr>
        <w:t>机构和基金托管人可就本基金参与期货交易的具体事项另行签订期货备忘录。本基金投资于期货发生的资金交割清算由期货</w:t>
      </w:r>
      <w:r>
        <w:rPr>
          <w:rFonts w:ascii="宋体" w:hAnsi="宋体" w:cs="Arial"/>
          <w:sz w:val="24"/>
          <w:highlight w:val="white"/>
          <w:lang w:eastAsia="zh-CN"/>
        </w:rPr>
        <w:t>经纪</w:t>
      </w:r>
      <w:r>
        <w:rPr>
          <w:rFonts w:ascii="宋体" w:hAnsi="宋体" w:cs="Arial" w:hint="eastAsia"/>
          <w:sz w:val="24"/>
          <w:highlight w:val="white"/>
          <w:lang w:eastAsia="zh-CN"/>
        </w:rPr>
        <w:t>机构负责办理，基金托管人对由于期货交易所期货保证金制度和清算交割的需要而存放在期货</w:t>
      </w:r>
      <w:r>
        <w:rPr>
          <w:rFonts w:ascii="宋体" w:hAnsi="宋体" w:cs="Arial"/>
          <w:sz w:val="24"/>
          <w:highlight w:val="white"/>
          <w:lang w:eastAsia="zh-CN"/>
        </w:rPr>
        <w:t>经纪</w:t>
      </w:r>
      <w:r>
        <w:rPr>
          <w:rFonts w:ascii="宋体" w:hAnsi="宋体" w:cs="Arial" w:hint="eastAsia"/>
          <w:sz w:val="24"/>
          <w:highlight w:val="white"/>
          <w:lang w:eastAsia="zh-CN"/>
        </w:rPr>
        <w:t>机构的资金不行使保管职责，基金管理人应在其他协议中</w:t>
      </w:r>
      <w:r>
        <w:rPr>
          <w:rFonts w:ascii="宋体" w:hAnsi="宋体" w:cs="Arial" w:hint="eastAsia"/>
          <w:sz w:val="24"/>
          <w:highlight w:val="white"/>
          <w:lang w:eastAsia="zh-CN"/>
        </w:rPr>
        <w:t>约定由期货</w:t>
      </w:r>
      <w:r>
        <w:rPr>
          <w:rFonts w:ascii="宋体" w:hAnsi="宋体" w:cs="Arial"/>
          <w:sz w:val="24"/>
          <w:highlight w:val="white"/>
          <w:lang w:eastAsia="zh-CN"/>
        </w:rPr>
        <w:t>经纪</w:t>
      </w:r>
      <w:r>
        <w:rPr>
          <w:rFonts w:ascii="宋体" w:hAnsi="宋体" w:cs="Arial" w:hint="eastAsia"/>
          <w:sz w:val="24"/>
          <w:highlight w:val="white"/>
          <w:lang w:eastAsia="zh-CN"/>
        </w:rPr>
        <w:t>机构承担资金安全保管责任。</w:t>
      </w:r>
    </w:p>
    <w:p w:rsidR="00CB176C">
      <w:pPr>
        <w:snapToGrid w:val="0"/>
        <w:spacing w:line="300" w:lineRule="auto"/>
        <w:ind w:firstLine="480" w:firstLineChars="200"/>
        <w:rPr>
          <w:rFonts w:ascii="宋体" w:hAnsi="宋体" w:cs="Arial"/>
          <w:sz w:val="24"/>
          <w:lang w:eastAsia="zh-CN"/>
        </w:rPr>
      </w:pPr>
      <w:r>
        <w:rPr>
          <w:rFonts w:ascii="宋体" w:hAnsi="宋体" w:cs="Arial"/>
          <w:sz w:val="24"/>
          <w:highlight w:val="white"/>
          <w:lang w:eastAsia="zh-CN"/>
        </w:rPr>
        <w:t>4</w:t>
      </w:r>
      <w:r>
        <w:rPr>
          <w:rFonts w:ascii="宋体" w:hAnsi="宋体" w:cs="Arial" w:hint="eastAsia"/>
          <w:sz w:val="24"/>
          <w:highlight w:val="white"/>
          <w:lang w:eastAsia="zh-CN"/>
        </w:rPr>
        <w:t>．投资银行存款的安排</w:t>
      </w:r>
    </w:p>
    <w:p w:rsidR="00CB176C">
      <w:pPr>
        <w:snapToGrid w:val="0"/>
        <w:spacing w:line="300" w:lineRule="auto"/>
        <w:ind w:firstLine="480" w:firstLineChars="200"/>
        <w:rPr>
          <w:rFonts w:ascii="宋体" w:hAnsi="宋体" w:cs="Arial"/>
          <w:sz w:val="24"/>
          <w:lang w:eastAsia="zh-CN"/>
        </w:rPr>
      </w:pPr>
      <w:r>
        <w:rPr>
          <w:rFonts w:ascii="宋体" w:hAnsi="宋体" w:cs="Arial" w:hint="eastAsia"/>
          <w:sz w:val="24"/>
          <w:highlight w:val="white"/>
          <w:lang w:eastAsia="zh-CN"/>
        </w:rPr>
        <w:t>A</w:t>
      </w:r>
      <w:r>
        <w:rPr>
          <w:rFonts w:ascii="宋体" w:hAnsi="宋体" w:cs="Arial" w:hint="eastAsia"/>
          <w:sz w:val="24"/>
          <w:highlight w:val="white"/>
          <w:lang w:eastAsia="zh-CN"/>
        </w:rPr>
        <w:t>本基金投资银行存款前，基金管理人应与存款银行签订具体存款协议，包括但不限于以下内容，并确保存款机构遵守本协议关于存款的相关要求：</w:t>
      </w:r>
    </w:p>
    <w:p w:rsidR="00CB176C">
      <w:pPr>
        <w:snapToGrid w:val="0"/>
        <w:spacing w:line="300" w:lineRule="auto"/>
        <w:ind w:firstLine="480" w:firstLineChars="200"/>
        <w:rPr>
          <w:rFonts w:ascii="宋体" w:hAnsi="宋体" w:cs="Arial"/>
          <w:sz w:val="24"/>
          <w:lang w:eastAsia="zh-CN"/>
        </w:rPr>
      </w:pPr>
      <w:r>
        <w:rPr>
          <w:rFonts w:ascii="宋体" w:hAnsi="宋体" w:cs="Arial" w:hint="eastAsia"/>
          <w:sz w:val="24"/>
          <w:highlight w:val="white"/>
          <w:lang w:eastAsia="zh-CN"/>
        </w:rPr>
        <w:t>（</w:t>
      </w:r>
      <w:r>
        <w:rPr>
          <w:rFonts w:ascii="宋体" w:hAnsi="宋体" w:cs="Arial"/>
          <w:sz w:val="24"/>
          <w:highlight w:val="white"/>
          <w:lang w:eastAsia="zh-CN"/>
        </w:rPr>
        <w:t>1</w:t>
      </w:r>
      <w:r>
        <w:rPr>
          <w:rFonts w:ascii="宋体" w:hAnsi="宋体" w:cs="Arial" w:hint="eastAsia"/>
          <w:sz w:val="24"/>
          <w:highlight w:val="white"/>
          <w:lang w:eastAsia="zh-CN"/>
        </w:rPr>
        <w:t>）存款账户必须以本基金名义开立</w:t>
      </w:r>
      <w:r>
        <w:rPr>
          <w:rFonts w:ascii="宋体" w:hAnsi="宋体" w:cs="Arial"/>
          <w:sz w:val="24"/>
          <w:highlight w:val="white"/>
          <w:lang w:eastAsia="zh-CN"/>
        </w:rPr>
        <w:t>,</w:t>
      </w:r>
      <w:r>
        <w:rPr>
          <w:rFonts w:ascii="宋体" w:hAnsi="宋体" w:cs="Arial" w:hint="eastAsia"/>
          <w:sz w:val="24"/>
          <w:highlight w:val="white"/>
          <w:lang w:eastAsia="zh-CN"/>
        </w:rPr>
        <w:t>并将基金托管人为本基金开立的托管账户指定为唯一回款账户，任何情况下，存款银行都不得将存款投资本息划往任何其他账户。</w:t>
      </w:r>
    </w:p>
    <w:p w:rsidR="00CB176C">
      <w:pPr>
        <w:snapToGrid w:val="0"/>
        <w:spacing w:line="300" w:lineRule="auto"/>
        <w:ind w:firstLine="480" w:firstLineChars="200"/>
        <w:rPr>
          <w:rFonts w:ascii="宋体" w:hAnsi="宋体" w:cs="Arial"/>
          <w:sz w:val="24"/>
          <w:lang w:eastAsia="zh-CN"/>
        </w:rPr>
      </w:pPr>
      <w:r>
        <w:rPr>
          <w:rFonts w:ascii="宋体" w:hAnsi="宋体" w:cs="Arial" w:hint="eastAsia"/>
          <w:sz w:val="24"/>
          <w:highlight w:val="white"/>
          <w:lang w:eastAsia="zh-CN"/>
        </w:rPr>
        <w:t>（</w:t>
      </w:r>
      <w:r>
        <w:rPr>
          <w:rFonts w:ascii="宋体" w:hAnsi="宋体" w:cs="Arial"/>
          <w:sz w:val="24"/>
          <w:highlight w:val="white"/>
          <w:lang w:eastAsia="zh-CN"/>
        </w:rPr>
        <w:t>2</w:t>
      </w:r>
      <w:r>
        <w:rPr>
          <w:rFonts w:ascii="宋体" w:hAnsi="宋体" w:cs="Arial" w:hint="eastAsia"/>
          <w:sz w:val="24"/>
          <w:highlight w:val="white"/>
          <w:lang w:eastAsia="zh-CN"/>
        </w:rPr>
        <w:t>）存款银行不得接受基金管理人或基金托管人任何一方单方面提出的对存款进行更名、支取、挂失、质押、担保、撤销、变更印鉴及回款账户信息等可能导致财产转移的操作申请。</w:t>
      </w:r>
    </w:p>
    <w:p w:rsidR="00CB176C">
      <w:pPr>
        <w:snapToGrid w:val="0"/>
        <w:spacing w:line="300" w:lineRule="auto"/>
        <w:ind w:firstLine="480" w:firstLineChars="200"/>
        <w:rPr>
          <w:rFonts w:ascii="宋体" w:hAnsi="宋体" w:cs="Arial"/>
          <w:sz w:val="24"/>
          <w:lang w:eastAsia="zh-CN"/>
        </w:rPr>
      </w:pPr>
      <w:r>
        <w:rPr>
          <w:rFonts w:ascii="宋体" w:hAnsi="宋体" w:cs="Arial" w:hint="eastAsia"/>
          <w:sz w:val="24"/>
          <w:highlight w:val="white"/>
          <w:lang w:eastAsia="zh-CN"/>
        </w:rPr>
        <w:t>（</w:t>
      </w:r>
      <w:r>
        <w:rPr>
          <w:rFonts w:ascii="宋体" w:hAnsi="宋体" w:cs="Arial"/>
          <w:sz w:val="24"/>
          <w:highlight w:val="white"/>
          <w:lang w:eastAsia="zh-CN"/>
        </w:rPr>
        <w:t>3</w:t>
      </w:r>
      <w:r>
        <w:rPr>
          <w:rFonts w:ascii="宋体" w:hAnsi="宋体" w:cs="Arial" w:hint="eastAsia"/>
          <w:sz w:val="24"/>
          <w:highlight w:val="white"/>
          <w:lang w:eastAsia="zh-CN"/>
        </w:rPr>
        <w:t>）约定存款证实书的具体传递交接方式及交接期限。</w:t>
      </w:r>
    </w:p>
    <w:p w:rsidR="00CB176C">
      <w:pPr>
        <w:snapToGrid w:val="0"/>
        <w:spacing w:line="300" w:lineRule="auto"/>
        <w:ind w:firstLine="480" w:firstLineChars="200"/>
        <w:rPr>
          <w:rFonts w:ascii="宋体" w:hAnsi="宋体" w:cs="Arial"/>
          <w:sz w:val="24"/>
          <w:lang w:eastAsia="zh-CN"/>
        </w:rPr>
      </w:pPr>
      <w:r>
        <w:rPr>
          <w:rFonts w:ascii="宋体" w:hAnsi="宋体" w:cs="Arial" w:hint="eastAsia"/>
          <w:sz w:val="24"/>
          <w:highlight w:val="white"/>
          <w:lang w:eastAsia="zh-CN"/>
        </w:rPr>
        <w:t>（</w:t>
      </w:r>
      <w:r>
        <w:rPr>
          <w:rFonts w:ascii="宋体" w:hAnsi="宋体" w:cs="Arial"/>
          <w:sz w:val="24"/>
          <w:highlight w:val="white"/>
          <w:lang w:eastAsia="zh-CN"/>
        </w:rPr>
        <w:t>4</w:t>
      </w:r>
      <w:r>
        <w:rPr>
          <w:rFonts w:ascii="宋体" w:hAnsi="宋体" w:cs="Arial" w:hint="eastAsia"/>
          <w:sz w:val="24"/>
          <w:highlight w:val="white"/>
          <w:lang w:eastAsia="zh-CN"/>
        </w:rPr>
        <w:t>）资金划转过程中需要使用存款银行过渡账户的，存款银行须保证资金在过渡账户中不出现滞留，不被挪用。</w:t>
      </w:r>
      <w:r>
        <w:rPr>
          <w:rFonts w:ascii="宋体" w:hAnsi="宋体" w:cs="Arial"/>
          <w:sz w:val="24"/>
          <w:highlight w:val="white"/>
          <w:lang w:eastAsia="zh-CN"/>
        </w:rPr>
        <w:t xml:space="preserve"> </w:t>
      </w:r>
    </w:p>
    <w:p w:rsidR="00CB176C">
      <w:pPr>
        <w:snapToGrid w:val="0"/>
        <w:spacing w:line="300" w:lineRule="auto"/>
        <w:ind w:firstLine="480" w:firstLineChars="200"/>
        <w:rPr>
          <w:rFonts w:ascii="宋体" w:hAnsi="宋体" w:cs="Arial"/>
          <w:sz w:val="24"/>
          <w:lang w:eastAsia="zh-CN"/>
        </w:rPr>
      </w:pPr>
      <w:r>
        <w:rPr>
          <w:rFonts w:ascii="宋体" w:hAnsi="宋体" w:cs="Arial" w:hint="eastAsia"/>
          <w:sz w:val="24"/>
          <w:highlight w:val="white"/>
          <w:lang w:eastAsia="zh-CN"/>
        </w:rPr>
        <w:t>B</w:t>
      </w:r>
      <w:r>
        <w:rPr>
          <w:rFonts w:ascii="宋体" w:hAnsi="宋体" w:cs="Arial" w:hint="eastAsia"/>
          <w:sz w:val="24"/>
          <w:highlight w:val="white"/>
          <w:lang w:eastAsia="zh-CN"/>
        </w:rPr>
        <w:t>本基金投资银行存款，必须采用双方认可的方式办理。基金托管人负责依据管理人提供的银行存款投资合同</w:t>
      </w:r>
      <w:r>
        <w:rPr>
          <w:rFonts w:ascii="宋体" w:hAnsi="宋体" w:cs="Arial"/>
          <w:sz w:val="24"/>
          <w:highlight w:val="white"/>
          <w:lang w:eastAsia="zh-CN"/>
        </w:rPr>
        <w:t>/</w:t>
      </w:r>
      <w:r>
        <w:rPr>
          <w:rFonts w:ascii="宋体" w:hAnsi="宋体" w:cs="Arial" w:hint="eastAsia"/>
          <w:sz w:val="24"/>
          <w:highlight w:val="white"/>
          <w:lang w:eastAsia="zh-CN"/>
        </w:rPr>
        <w:t>协议、投资指令、支取通知等有关文件办理资金的支付以及存款证实书的接收、保管与交付，切实履行托管职责。基金托管人负责对存款开户证实书进行保管，不负责对存款开户证实书真伪的辨别，不承担存款开户证实书对应存款的本金及收益的安全。</w:t>
      </w:r>
    </w:p>
    <w:p w:rsidR="00CB176C">
      <w:pPr>
        <w:snapToGrid w:val="0"/>
        <w:spacing w:line="300" w:lineRule="auto"/>
        <w:ind w:firstLine="480" w:firstLineChars="200"/>
        <w:rPr>
          <w:rFonts w:ascii="宋体" w:hAnsi="宋体" w:cs="Arial"/>
          <w:sz w:val="24"/>
          <w:lang w:eastAsia="zh-CN"/>
        </w:rPr>
      </w:pPr>
      <w:r>
        <w:rPr>
          <w:rFonts w:ascii="宋体" w:hAnsi="宋体" w:cs="Arial" w:hint="eastAsia"/>
          <w:sz w:val="24"/>
          <w:highlight w:val="white"/>
          <w:lang w:eastAsia="zh-CN"/>
        </w:rPr>
        <w:t>C</w:t>
      </w:r>
      <w:r>
        <w:rPr>
          <w:rFonts w:ascii="宋体" w:hAnsi="宋体" w:cs="Arial" w:hint="eastAsia"/>
          <w:sz w:val="24"/>
          <w:highlight w:val="white"/>
          <w:lang w:eastAsia="zh-CN"/>
        </w:rPr>
        <w:t>基金管理人投资银行存款或办理存</w:t>
      </w:r>
      <w:r>
        <w:rPr>
          <w:rFonts w:ascii="宋体" w:hAnsi="宋体" w:cs="Arial" w:hint="eastAsia"/>
          <w:sz w:val="24"/>
          <w:highlight w:val="white"/>
          <w:lang w:eastAsia="zh-CN"/>
        </w:rPr>
        <w:t>款支取时，应提前书面通知基金托管人，以便基金托管人有足够的时间履行相应的业务操作程序。因发生逾期支取、提前支取或部分提前支取，基金托管人不承担相应利息损失及逾期支取手续费。</w:t>
      </w:r>
    </w:p>
    <w:p w:rsidR="00CB176C">
      <w:pPr>
        <w:snapToGrid w:val="0"/>
        <w:spacing w:line="300" w:lineRule="auto"/>
        <w:ind w:firstLine="480" w:firstLineChars="200"/>
        <w:rPr>
          <w:rFonts w:ascii="宋体" w:hAnsi="宋体" w:cs="Arial"/>
          <w:sz w:val="24"/>
          <w:lang w:eastAsia="zh-CN"/>
        </w:rPr>
      </w:pPr>
      <w:r>
        <w:rPr>
          <w:rFonts w:ascii="宋体" w:hAnsi="宋体" w:cs="Arial" w:hint="eastAsia"/>
          <w:sz w:val="24"/>
          <w:highlight w:val="white"/>
          <w:lang w:eastAsia="zh-CN"/>
        </w:rPr>
        <w:t>D</w:t>
      </w:r>
      <w:r>
        <w:rPr>
          <w:rFonts w:ascii="宋体" w:hAnsi="宋体" w:cs="Arial" w:hint="eastAsia"/>
          <w:sz w:val="24"/>
          <w:highlight w:val="white"/>
          <w:lang w:eastAsia="zh-CN"/>
        </w:rPr>
        <w:t>存款银行应为存款业务提供定期对账服务。首次对账应不晚于存款资金存入后的一个自然月。除首次对账外，对账频率不少于每季度一次，存款银行应主动向托管人提供定期对账文件</w:t>
      </w:r>
      <w:r>
        <w:rPr>
          <w:rFonts w:ascii="宋体" w:hAnsi="宋体" w:cs="Arial" w:hint="eastAsia"/>
          <w:sz w:val="24"/>
          <w:highlight w:val="white"/>
          <w:lang w:eastAsia="zh-CN"/>
        </w:rPr>
        <w:t>.</w:t>
      </w:r>
    </w:p>
    <w:p w:rsidR="00CB176C">
      <w:pPr>
        <w:snapToGrid w:val="0"/>
        <w:spacing w:line="300" w:lineRule="auto"/>
        <w:ind w:firstLine="480" w:firstLineChars="200"/>
        <w:rPr>
          <w:rFonts w:ascii="宋体" w:hAnsi="宋体" w:cs="Arial"/>
          <w:sz w:val="24"/>
          <w:lang w:eastAsia="zh-CN"/>
        </w:rPr>
      </w:pPr>
      <w:r>
        <w:rPr>
          <w:rFonts w:ascii="宋体" w:hAnsi="宋体" w:cs="Arial"/>
          <w:sz w:val="24"/>
          <w:highlight w:val="white"/>
          <w:lang w:eastAsia="zh-CN"/>
        </w:rPr>
        <w:t>5</w:t>
      </w:r>
      <w:r>
        <w:rPr>
          <w:rFonts w:ascii="宋体" w:hAnsi="宋体" w:cs="Arial" w:hint="eastAsia"/>
          <w:sz w:val="24"/>
          <w:highlight w:val="white"/>
          <w:lang w:eastAsia="zh-CN"/>
        </w:rPr>
        <w:t>．其他投资的特别约定</w:t>
      </w:r>
    </w:p>
    <w:p w:rsidR="00CB176C">
      <w:pPr>
        <w:snapToGrid w:val="0"/>
        <w:spacing w:line="300" w:lineRule="auto"/>
        <w:ind w:firstLine="480" w:firstLineChars="200"/>
        <w:rPr>
          <w:rFonts w:ascii="宋体" w:hAnsi="宋体" w:cs="Arial"/>
          <w:sz w:val="24"/>
          <w:lang w:eastAsia="zh-CN"/>
        </w:rPr>
      </w:pPr>
      <w:r>
        <w:rPr>
          <w:rFonts w:ascii="宋体" w:hAnsi="宋体" w:cs="Arial" w:hint="eastAsia"/>
          <w:sz w:val="24"/>
          <w:highlight w:val="white"/>
          <w:lang w:eastAsia="zh-CN"/>
        </w:rPr>
        <w:t>托管人依据管理人符合本协议约定的有效资金划拨指令和基础交易合同复印件（加盖公章或授权章）及资金用途说明进行资金划拨。如涉及投资产生的实物权利凭证应移</w:t>
      </w:r>
      <w:r>
        <w:rPr>
          <w:rFonts w:ascii="宋体" w:hAnsi="宋体" w:cs="Arial" w:hint="eastAsia"/>
          <w:sz w:val="24"/>
          <w:highlight w:val="white"/>
          <w:lang w:eastAsia="zh-CN"/>
        </w:rPr>
        <w:t>交托管人保管，并将托管账户指定为唯一回款账户，任何情况下，管理人都不得将投资本金和收益划往任何其他账户。产品支取或提前支取时，管理人应提前书面通知托管人。管理人单方面不得对投资权益进行转让、抵（质）押、担保、撤销、变更或变更回款账户信息等可能导致财产转移的操作申请。</w:t>
      </w:r>
    </w:p>
    <w:p w:rsidR="00CB176C">
      <w:pPr>
        <w:snapToGrid w:val="0"/>
        <w:spacing w:line="300" w:lineRule="auto"/>
        <w:ind w:firstLine="480" w:firstLineChars="200"/>
        <w:rPr>
          <w:rFonts w:ascii="宋体" w:hAnsi="宋体" w:cs="Arial"/>
          <w:sz w:val="24"/>
          <w:lang w:eastAsia="zh-CN"/>
        </w:rPr>
      </w:pPr>
      <w:r>
        <w:rPr>
          <w:rFonts w:ascii="宋体" w:hAnsi="宋体" w:cs="Arial" w:hint="eastAsia"/>
          <w:sz w:val="24"/>
          <w:highlight w:val="white"/>
          <w:lang w:eastAsia="zh-CN"/>
        </w:rPr>
        <w:t>托管人接受管理人的指令、划拨托管资金至指定账户，即视为履行完毕本协议项下的托管责任，除本协议另有约定外，托管人不对托管资金的实际使用情况承担监督责任。</w:t>
      </w:r>
    </w:p>
    <w:p w:rsidR="00CB176C">
      <w:pPr>
        <w:snapToGrid w:val="0"/>
        <w:spacing w:line="300" w:lineRule="auto"/>
        <w:ind w:firstLine="480" w:firstLineChars="200"/>
        <w:rPr>
          <w:rFonts w:ascii="宋体" w:hAnsi="宋体" w:cs="Arial"/>
          <w:sz w:val="24"/>
          <w:lang w:eastAsia="zh-CN"/>
        </w:rPr>
      </w:pPr>
      <w:r>
        <w:rPr>
          <w:rFonts w:ascii="宋体" w:hAnsi="宋体" w:cs="Arial" w:hint="eastAsia"/>
          <w:sz w:val="24"/>
          <w:highlight w:val="white"/>
          <w:lang w:eastAsia="zh-CN"/>
        </w:rPr>
        <w:t>（三）可用资金余额的确认</w:t>
      </w:r>
    </w:p>
    <w:p w:rsidR="00CB176C">
      <w:pPr>
        <w:snapToGrid w:val="0"/>
        <w:spacing w:line="300" w:lineRule="auto"/>
        <w:ind w:firstLine="480" w:firstLineChars="200"/>
        <w:rPr>
          <w:rFonts w:ascii="宋体" w:hAnsi="宋体" w:cs="Arial"/>
          <w:sz w:val="24"/>
          <w:lang w:eastAsia="zh-CN"/>
        </w:rPr>
      </w:pPr>
      <w:r>
        <w:rPr>
          <w:rFonts w:ascii="宋体" w:hAnsi="宋体" w:cs="Arial" w:hint="eastAsia"/>
          <w:sz w:val="24"/>
          <w:highlight w:val="white"/>
          <w:lang w:eastAsia="zh-CN"/>
        </w:rPr>
        <w:t>基金托管人应于每个交易日日终将托管账户的可用资金余额以双方认可的方式提供给基金管理人。</w:t>
      </w:r>
    </w:p>
    <w:p w:rsidR="00CB176C">
      <w:pPr>
        <w:snapToGrid w:val="0"/>
        <w:spacing w:after="156" w:afterLines="50" w:line="288" w:lineRule="auto"/>
        <w:ind w:firstLine="480"/>
        <w:rPr>
          <w:rFonts w:ascii="宋体" w:hAnsi="宋体" w:cs="Arial"/>
          <w:sz w:val="24"/>
          <w:lang w:eastAsia="zh-CN"/>
        </w:rPr>
      </w:pPr>
      <w:r>
        <w:rPr>
          <w:rFonts w:ascii="宋体" w:hAnsi="宋体" w:cs="Arial" w:hint="eastAsia"/>
          <w:sz w:val="24"/>
          <w:highlight w:val="white"/>
          <w:lang w:eastAsia="zh-CN"/>
        </w:rPr>
        <w:t>（四）资金和证券账目、交易记录核对的时间和方式</w:t>
      </w:r>
    </w:p>
    <w:p w:rsidR="00CB176C">
      <w:pPr>
        <w:snapToGrid w:val="0"/>
        <w:spacing w:after="156" w:afterLines="50" w:line="288" w:lineRule="auto"/>
        <w:ind w:firstLine="480"/>
        <w:rPr>
          <w:rFonts w:ascii="宋体" w:hAnsi="宋体" w:cs="Arial"/>
          <w:sz w:val="24"/>
          <w:lang w:eastAsia="zh-CN"/>
        </w:rPr>
      </w:pPr>
      <w:bookmarkStart w:id="109" w:name="_Hlk79079481"/>
      <w:r>
        <w:rPr>
          <w:rFonts w:ascii="宋体" w:hAnsi="宋体" w:cs="Arial" w:hint="eastAsia"/>
          <w:sz w:val="24"/>
          <w:highlight w:val="white"/>
          <w:lang w:eastAsia="zh-CN"/>
        </w:rPr>
        <w:t>1</w:t>
      </w:r>
      <w:r>
        <w:rPr>
          <w:rFonts w:ascii="宋体" w:hAnsi="宋体" w:cs="Arial"/>
          <w:sz w:val="24"/>
          <w:highlight w:val="white"/>
          <w:lang w:eastAsia="zh-CN"/>
        </w:rPr>
        <w:t>.</w:t>
      </w:r>
      <w:r>
        <w:rPr>
          <w:rFonts w:ascii="宋体" w:hAnsi="宋体" w:cs="Arial" w:hint="eastAsia"/>
          <w:sz w:val="24"/>
          <w:highlight w:val="white"/>
          <w:lang w:eastAsia="zh-CN"/>
        </w:rPr>
        <w:t>交易记录的核对</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基金管理人按估值日进行交易记录的核对，保证披露当天所有实际交易记录与会计账簿上的交易记录完全一致。</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如果实际交易记录与会计账簿记录不一致，造成基金财产会计核算不完整或不真实，由此导致的损失由基金管理人承担。</w:t>
      </w:r>
    </w:p>
    <w:p w:rsidR="00CB176C">
      <w:pPr>
        <w:snapToGrid w:val="0"/>
        <w:spacing w:after="156" w:afterLines="50" w:line="288" w:lineRule="auto"/>
        <w:ind w:firstLine="480"/>
        <w:rPr>
          <w:rFonts w:ascii="宋体" w:hAnsi="宋体" w:cs="Arial"/>
          <w:sz w:val="24"/>
          <w:lang w:eastAsia="zh-CN"/>
        </w:rPr>
      </w:pPr>
      <w:r>
        <w:rPr>
          <w:rFonts w:ascii="宋体" w:hAnsi="宋体" w:cs="Arial" w:hint="eastAsia"/>
          <w:sz w:val="24"/>
          <w:highlight w:val="white"/>
          <w:lang w:eastAsia="zh-CN"/>
        </w:rPr>
        <w:t>2</w:t>
      </w:r>
      <w:r>
        <w:rPr>
          <w:rFonts w:ascii="宋体" w:hAnsi="宋体" w:cs="Arial"/>
          <w:sz w:val="24"/>
          <w:highlight w:val="white"/>
          <w:lang w:eastAsia="zh-CN"/>
        </w:rPr>
        <w:t>.</w:t>
      </w:r>
      <w:r>
        <w:rPr>
          <w:rFonts w:ascii="宋体" w:hAnsi="宋体" w:cs="Arial" w:hint="eastAsia"/>
          <w:sz w:val="24"/>
          <w:highlight w:val="white"/>
          <w:lang w:eastAsia="zh-CN"/>
        </w:rPr>
        <w:t>资金账目的核对</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基金管理人和基金托管人每个估值日核对资金账目，确保双方账目相符。</w:t>
      </w:r>
    </w:p>
    <w:p w:rsidR="00CB176C">
      <w:pPr>
        <w:snapToGrid w:val="0"/>
        <w:spacing w:after="156" w:afterLines="50" w:line="288" w:lineRule="auto"/>
        <w:ind w:firstLine="480"/>
        <w:rPr>
          <w:rFonts w:ascii="宋体" w:hAnsi="宋体" w:cs="Arial"/>
          <w:sz w:val="24"/>
          <w:lang w:eastAsia="zh-CN"/>
        </w:rPr>
      </w:pPr>
      <w:r>
        <w:rPr>
          <w:rFonts w:ascii="宋体" w:hAnsi="宋体" w:cs="Arial" w:hint="eastAsia"/>
          <w:sz w:val="24"/>
          <w:highlight w:val="white"/>
          <w:lang w:eastAsia="zh-CN"/>
        </w:rPr>
        <w:t>3</w:t>
      </w:r>
      <w:r>
        <w:rPr>
          <w:rFonts w:ascii="宋体" w:hAnsi="宋体" w:cs="Arial"/>
          <w:sz w:val="24"/>
          <w:highlight w:val="white"/>
          <w:lang w:eastAsia="zh-CN"/>
        </w:rPr>
        <w:t>.</w:t>
      </w:r>
      <w:r>
        <w:rPr>
          <w:rFonts w:ascii="宋体" w:hAnsi="宋体" w:cs="Arial" w:hint="eastAsia"/>
          <w:sz w:val="24"/>
          <w:highlight w:val="white"/>
          <w:lang w:eastAsia="zh-CN"/>
        </w:rPr>
        <w:t>证券账目的核对</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基金管理人和基金托管人每个估值日核对证券账</w:t>
      </w:r>
      <w:r>
        <w:rPr>
          <w:rFonts w:ascii="宋体" w:hAnsi="宋体" w:cs="Arial" w:hint="eastAsia"/>
          <w:sz w:val="24"/>
          <w:highlight w:val="white"/>
          <w:lang w:eastAsia="zh-CN"/>
        </w:rPr>
        <w:t>目，确保双方账目相符。</w:t>
      </w:r>
      <w:bookmarkEnd w:id="109"/>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除非基金管理人、基金托管人存在过失、疏忽、欺诈或故意不当行为，基金管理人、基金托管人将不保证基金托管人所接收基金财产中的证券的所有权、合法性或真实性（包括是否以良好形式转让）及其他效力瑕疵。</w:t>
      </w:r>
    </w:p>
    <w:p w:rsidR="00CB176C">
      <w:pPr>
        <w:snapToGrid w:val="0"/>
        <w:spacing w:after="156" w:afterLines="50" w:line="288" w:lineRule="auto"/>
        <w:ind w:firstLine="480" w:firstLineChars="200"/>
        <w:rPr>
          <w:rFonts w:ascii="宋体" w:hAnsi="宋体" w:cs="Arial"/>
          <w:sz w:val="24"/>
          <w:lang w:eastAsia="zh-CN"/>
        </w:rPr>
      </w:pPr>
      <w:bookmarkStart w:id="110" w:name="_Hlk79079429"/>
      <w:r>
        <w:rPr>
          <w:rFonts w:ascii="宋体" w:hAnsi="宋体" w:cs="Arial" w:hint="eastAsia"/>
          <w:sz w:val="24"/>
          <w:highlight w:val="white"/>
          <w:lang w:eastAsia="zh-CN"/>
        </w:rPr>
        <w:t>（五）无法按时支付证券清算款的责任认定及处理程序</w:t>
      </w:r>
      <w:r>
        <w:rPr>
          <w:rFonts w:ascii="宋体" w:hAnsi="宋体" w:cs="Arial" w:hint="eastAsia"/>
          <w:sz w:val="24"/>
          <w:highlight w:val="white"/>
          <w:lang w:eastAsia="zh-CN"/>
        </w:rPr>
        <w:t xml:space="preserve"> </w:t>
      </w:r>
    </w:p>
    <w:p w:rsidR="00CB176C">
      <w:pPr>
        <w:snapToGrid w:val="0"/>
        <w:spacing w:after="156" w:afterLines="50" w:line="288" w:lineRule="auto"/>
        <w:ind w:firstLine="480" w:firstLineChars="200"/>
        <w:rPr>
          <w:rFonts w:ascii="宋体" w:hAnsi="宋体" w:cs="Arial"/>
          <w:bCs/>
          <w:sz w:val="24"/>
          <w:lang w:eastAsia="zh-CN"/>
        </w:rPr>
      </w:pPr>
      <w:r>
        <w:rPr>
          <w:rFonts w:ascii="宋体" w:hAnsi="宋体" w:cs="Arial" w:hint="eastAsia"/>
          <w:bCs/>
          <w:sz w:val="24"/>
          <w:highlight w:val="white"/>
          <w:lang w:eastAsia="zh-CN"/>
        </w:rPr>
        <w:t>基金管理人应确保基金托管人在执行基金管理人发送的指令时，有足够的头寸进行交收。基金财产的资金头寸不足时，基金托管人有权拒绝基金管理人发送的划款指令。基金管理人在发送划款指令时应充分考虑基金托管人的划款处理所需的合理时间。如由于基金管理人的原因导</w:t>
      </w:r>
      <w:r>
        <w:rPr>
          <w:rFonts w:ascii="宋体" w:hAnsi="宋体" w:cs="Arial" w:hint="eastAsia"/>
          <w:bCs/>
          <w:sz w:val="24"/>
          <w:highlight w:val="white"/>
          <w:lang w:eastAsia="zh-CN"/>
        </w:rPr>
        <w:t>致无法按时支付证券清算款，由此造成的损失由基金管理人承担。</w:t>
      </w:r>
    </w:p>
    <w:p w:rsidR="00CB176C">
      <w:pPr>
        <w:snapToGrid w:val="0"/>
        <w:spacing w:after="156" w:afterLines="50" w:line="288" w:lineRule="auto"/>
        <w:ind w:firstLine="480" w:firstLineChars="200"/>
        <w:rPr>
          <w:rFonts w:ascii="宋体" w:hAnsi="宋体" w:cs="Arial"/>
          <w:bCs/>
          <w:sz w:val="24"/>
          <w:lang w:eastAsia="zh-CN"/>
        </w:rPr>
      </w:pPr>
      <w:bookmarkStart w:id="111" w:name="_Hlk79079451"/>
      <w:bookmarkEnd w:id="110"/>
      <w:r>
        <w:rPr>
          <w:rFonts w:ascii="宋体" w:hAnsi="宋体" w:cs="Arial" w:hint="eastAsia"/>
          <w:bCs/>
          <w:sz w:val="24"/>
          <w:highlight w:val="white"/>
          <w:lang w:eastAsia="zh-CN"/>
        </w:rPr>
        <w:t>（六）实物券的交收、保管</w:t>
      </w:r>
    </w:p>
    <w:p w:rsidR="00CB176C">
      <w:pPr>
        <w:snapToGrid w:val="0"/>
        <w:spacing w:after="156" w:afterLines="50" w:line="288" w:lineRule="auto"/>
        <w:ind w:firstLine="480" w:firstLineChars="200"/>
        <w:rPr>
          <w:rFonts w:ascii="宋体" w:hAnsi="宋体" w:cs="Arial"/>
          <w:bCs/>
          <w:sz w:val="24"/>
          <w:lang w:eastAsia="zh-CN"/>
        </w:rPr>
      </w:pPr>
      <w:r>
        <w:rPr>
          <w:rFonts w:ascii="宋体" w:hAnsi="宋体" w:cs="Arial" w:hint="eastAsia"/>
          <w:bCs/>
          <w:sz w:val="24"/>
          <w:highlight w:val="white"/>
          <w:lang w:eastAsia="zh-CN"/>
        </w:rPr>
        <w:t>根据基金托管人合理酌定或经不时另行与基金管理人约定，以实物形式证明证券所有权的文件（不包括不记名形式的产权文件）将由基金托管人、结算系统或其代理人以实物形式持有，并受限于法律法规的要求以及相关服务协议的条款和条件。基金托管人将基金管理人不时提供的保管文件以物理形式存放于防火保险库中。基金托管人按照本条款行事，应视为根据基金管理人的指令行事。为使基金托管人承担并继续履行其对实物券的保管职责，基金管理人同意按照基金托管人的要求完成相关转让、授权或其他文件，或者敦促他人按照基金托管人的要求做或者不做相关行为或事项</w:t>
      </w:r>
      <w:r>
        <w:rPr>
          <w:rFonts w:ascii="宋体" w:hAnsi="宋体" w:cs="Arial" w:hint="eastAsia"/>
          <w:bCs/>
          <w:sz w:val="24"/>
          <w:highlight w:val="white"/>
          <w:lang w:eastAsia="zh-CN"/>
        </w:rPr>
        <w:t>，确保基金托管人以物理形式持有基金管理人交付的保管文件以及处理保管文件。基金托管人收到保管文件后，将以基金管理人同意的方式确认收到该等保管文件。基金托管人的职责仅限于为本基金持有保管文件，基金托管人在本条项下的职责纯属文书型的、行政性的、非自由裁量的。在任何情况下，基金托管人对保管文件的职责都不应扩大到任何性质的资产服务，除非本托管协议另有约定外。在任何时候，基金托管人不负责对基金管理人所提供的保管文件进行核查、验证、背书、证实、支付和</w:t>
      </w:r>
      <w:r>
        <w:rPr>
          <w:rFonts w:ascii="宋体" w:hAnsi="宋体" w:cs="Arial" w:hint="eastAsia"/>
          <w:bCs/>
          <w:sz w:val="24"/>
          <w:highlight w:val="white"/>
          <w:lang w:eastAsia="zh-CN"/>
        </w:rPr>
        <w:t>/</w:t>
      </w:r>
      <w:r>
        <w:rPr>
          <w:rFonts w:ascii="宋体" w:hAnsi="宋体" w:cs="Arial" w:hint="eastAsia"/>
          <w:bCs/>
          <w:sz w:val="24"/>
          <w:highlight w:val="white"/>
          <w:lang w:eastAsia="zh-CN"/>
        </w:rPr>
        <w:t>或保险。基金托管人亦不负责因基金管理人未能为保管文件提供足额保险而产生</w:t>
      </w:r>
      <w:r>
        <w:rPr>
          <w:rFonts w:ascii="宋体" w:hAnsi="宋体" w:cs="Arial" w:hint="eastAsia"/>
          <w:bCs/>
          <w:sz w:val="24"/>
          <w:highlight w:val="white"/>
          <w:lang w:eastAsia="zh-CN"/>
        </w:rPr>
        <w:t>的任何责任或损失。</w:t>
      </w:r>
    </w:p>
    <w:p w:rsidR="00CB176C">
      <w:pPr>
        <w:pStyle w:val="Heading2"/>
        <w:spacing w:before="0" w:after="156" w:afterLines="50" w:line="288" w:lineRule="auto"/>
        <w:jc w:val="center"/>
        <w:rPr>
          <w:rFonts w:ascii="宋体" w:eastAsia="宋体" w:hAnsi="宋体"/>
          <w:sz w:val="30"/>
          <w:lang w:eastAsia="zh-CN"/>
        </w:rPr>
      </w:pPr>
      <w:bookmarkStart w:id="112" w:name="_Toc205489769"/>
      <w:bookmarkStart w:id="113" w:name="_Toc394939104"/>
      <w:bookmarkEnd w:id="111"/>
      <w:r>
        <w:rPr>
          <w:rFonts w:ascii="宋体" w:eastAsia="宋体" w:hAnsi="宋体" w:hint="eastAsia"/>
          <w:sz w:val="30"/>
          <w:highlight w:val="white"/>
          <w:lang w:eastAsia="zh-CN"/>
        </w:rPr>
        <w:t>八、基金申购、赎回与分红安排</w:t>
      </w:r>
      <w:bookmarkEnd w:id="112"/>
      <w:bookmarkEnd w:id="113"/>
    </w:p>
    <w:p w:rsidR="00CB176C">
      <w:pPr>
        <w:pStyle w:val="NormalIndent"/>
        <w:rPr>
          <w:lang w:eastAsia="zh-CN"/>
        </w:rPr>
      </w:pPr>
    </w:p>
    <w:p w:rsidR="00CB176C">
      <w:pPr>
        <w:snapToGrid w:val="0"/>
        <w:spacing w:after="156" w:afterLines="50" w:line="288" w:lineRule="auto"/>
        <w:ind w:firstLine="480"/>
        <w:outlineLvl w:val="0"/>
        <w:rPr>
          <w:rFonts w:ascii="宋体" w:hAnsi="宋体" w:cs="Arial"/>
          <w:sz w:val="24"/>
          <w:lang w:eastAsia="zh-CN"/>
        </w:rPr>
      </w:pPr>
      <w:r>
        <w:rPr>
          <w:rFonts w:ascii="宋体" w:hAnsi="宋体" w:cs="Arial" w:hint="eastAsia"/>
          <w:sz w:val="24"/>
          <w:highlight w:val="white"/>
          <w:lang w:eastAsia="zh-CN"/>
        </w:rPr>
        <w:t>（一）基金申购和赎回业务处理的基本规定</w:t>
      </w:r>
    </w:p>
    <w:p w:rsidR="00CB176C">
      <w:pPr>
        <w:snapToGrid w:val="0"/>
        <w:spacing w:after="156" w:afterLines="50" w:line="288" w:lineRule="auto"/>
        <w:ind w:firstLine="480"/>
        <w:rPr>
          <w:rFonts w:ascii="宋体" w:hAnsi="宋体" w:cs="Arial"/>
          <w:sz w:val="24"/>
          <w:lang w:eastAsia="zh-CN"/>
        </w:rPr>
      </w:pPr>
      <w:r>
        <w:rPr>
          <w:rFonts w:ascii="宋体" w:hAnsi="宋体" w:cs="Arial" w:hint="eastAsia"/>
          <w:sz w:val="24"/>
          <w:highlight w:val="white"/>
          <w:lang w:eastAsia="zh-CN"/>
        </w:rPr>
        <w:t>1.</w:t>
      </w:r>
      <w:r>
        <w:rPr>
          <w:rFonts w:ascii="宋体" w:hAnsi="宋体" w:cs="Arial" w:hint="eastAsia"/>
          <w:sz w:val="24"/>
          <w:highlight w:val="white"/>
          <w:lang w:eastAsia="zh-CN"/>
        </w:rPr>
        <w:t>基金份额申购、赎回的确认、清算由基金管理人负责。</w:t>
      </w:r>
    </w:p>
    <w:p w:rsidR="00CB176C">
      <w:pPr>
        <w:snapToGrid w:val="0"/>
        <w:spacing w:after="156" w:afterLines="50" w:line="288" w:lineRule="auto"/>
        <w:ind w:firstLine="480"/>
        <w:rPr>
          <w:rFonts w:ascii="宋体" w:hAnsi="宋体" w:cs="Arial"/>
          <w:sz w:val="24"/>
          <w:lang w:eastAsia="zh-CN"/>
        </w:rPr>
      </w:pPr>
      <w:r>
        <w:rPr>
          <w:rFonts w:ascii="宋体" w:hAnsi="宋体" w:cs="Arial"/>
          <w:bCs/>
          <w:sz w:val="24"/>
          <w:highlight w:val="white"/>
          <w:lang w:eastAsia="zh-CN"/>
        </w:rPr>
        <w:t>2</w:t>
      </w:r>
      <w:r>
        <w:rPr>
          <w:rFonts w:ascii="宋体" w:hAnsi="宋体" w:cs="Arial" w:hint="eastAsia"/>
          <w:bCs/>
          <w:sz w:val="24"/>
          <w:highlight w:val="white"/>
          <w:lang w:eastAsia="zh-CN"/>
        </w:rPr>
        <w:t>.</w:t>
      </w:r>
      <w:r>
        <w:rPr>
          <w:rFonts w:ascii="宋体" w:hAnsi="宋体" w:cs="Arial" w:hint="eastAsia"/>
          <w:sz w:val="24"/>
          <w:highlight w:val="white"/>
          <w:lang w:eastAsia="zh-CN"/>
        </w:rPr>
        <w:t>基金管理人应将每个开放日的申购、赎回</w:t>
      </w:r>
      <w:r>
        <w:rPr>
          <w:rFonts w:ascii="宋体" w:hAnsi="宋体" w:hint="eastAsia"/>
          <w:sz w:val="24"/>
          <w:highlight w:val="white"/>
          <w:lang w:eastAsia="zh-CN"/>
        </w:rPr>
        <w:t>、转换</w:t>
      </w:r>
      <w:r>
        <w:rPr>
          <w:rFonts w:ascii="宋体" w:hAnsi="宋体" w:cs="Arial" w:hint="eastAsia"/>
          <w:sz w:val="24"/>
          <w:highlight w:val="white"/>
          <w:lang w:eastAsia="zh-CN"/>
        </w:rPr>
        <w:t>开放式基金的数据传送给基金托管人。基金管理人应对传递的申购、赎回</w:t>
      </w:r>
      <w:r>
        <w:rPr>
          <w:rFonts w:ascii="宋体" w:hAnsi="宋体" w:hint="eastAsia"/>
          <w:sz w:val="24"/>
          <w:highlight w:val="white"/>
          <w:lang w:eastAsia="zh-CN"/>
        </w:rPr>
        <w:t>、转换</w:t>
      </w:r>
      <w:r>
        <w:rPr>
          <w:rFonts w:ascii="宋体" w:hAnsi="宋体" w:cs="Arial" w:hint="eastAsia"/>
          <w:sz w:val="24"/>
          <w:highlight w:val="white"/>
          <w:lang w:eastAsia="zh-CN"/>
        </w:rPr>
        <w:t>开放式基金的数据真实性负责。</w:t>
      </w:r>
    </w:p>
    <w:p w:rsidR="00CB176C">
      <w:pPr>
        <w:snapToGrid w:val="0"/>
        <w:spacing w:after="156" w:afterLines="50" w:line="288" w:lineRule="auto"/>
        <w:ind w:firstLine="480"/>
        <w:rPr>
          <w:rFonts w:ascii="宋体" w:hAnsi="宋体" w:cs="Arial"/>
          <w:sz w:val="24"/>
          <w:lang w:eastAsia="zh-CN"/>
        </w:rPr>
      </w:pPr>
      <w:r>
        <w:rPr>
          <w:rFonts w:ascii="宋体" w:hAnsi="宋体" w:cs="Arial"/>
          <w:sz w:val="24"/>
          <w:highlight w:val="white"/>
          <w:lang w:eastAsia="zh-CN"/>
        </w:rPr>
        <w:t>3</w:t>
      </w:r>
      <w:r>
        <w:rPr>
          <w:rFonts w:ascii="宋体" w:hAnsi="宋体" w:cs="Arial" w:hint="eastAsia"/>
          <w:sz w:val="24"/>
          <w:highlight w:val="white"/>
          <w:lang w:eastAsia="zh-CN"/>
        </w:rPr>
        <w:t>.</w:t>
      </w:r>
      <w:r>
        <w:rPr>
          <w:rFonts w:ascii="宋体" w:hAnsi="宋体" w:cs="Arial" w:hint="eastAsia"/>
          <w:sz w:val="24"/>
          <w:highlight w:val="white"/>
          <w:lang w:eastAsia="zh-CN"/>
        </w:rPr>
        <w:t>基金管理人应保证于基金份额申购和赎回的确认日的下一工作日</w:t>
      </w:r>
      <w:r>
        <w:rPr>
          <w:rFonts w:ascii="宋体" w:hAnsi="宋体" w:cs="Arial" w:hint="eastAsia"/>
          <w:sz w:val="24"/>
          <w:highlight w:val="white"/>
          <w:lang w:eastAsia="zh-CN"/>
        </w:rPr>
        <w:t>16:00</w:t>
      </w:r>
      <w:r>
        <w:rPr>
          <w:rFonts w:ascii="宋体" w:hAnsi="宋体" w:cs="Arial" w:hint="eastAsia"/>
          <w:sz w:val="24"/>
          <w:highlight w:val="white"/>
          <w:lang w:eastAsia="zh-CN"/>
        </w:rPr>
        <w:t>前向基金托管人发送开放日上述有关数据，并保证相关数据的准确、完整。</w:t>
      </w:r>
    </w:p>
    <w:p w:rsidR="00CB176C">
      <w:pPr>
        <w:snapToGrid w:val="0"/>
        <w:spacing w:after="156" w:afterLines="50" w:line="288" w:lineRule="auto"/>
        <w:ind w:firstLine="480"/>
        <w:rPr>
          <w:rFonts w:ascii="宋体" w:hAnsi="宋体" w:cs="Arial"/>
          <w:sz w:val="24"/>
          <w:lang w:eastAsia="zh-CN"/>
        </w:rPr>
      </w:pPr>
      <w:r>
        <w:rPr>
          <w:rFonts w:ascii="宋体" w:hAnsi="宋体" w:cs="Arial"/>
          <w:sz w:val="24"/>
          <w:highlight w:val="white"/>
          <w:lang w:eastAsia="zh-CN"/>
        </w:rPr>
        <w:t>4</w:t>
      </w:r>
      <w:r>
        <w:rPr>
          <w:rFonts w:ascii="宋体" w:hAnsi="宋体" w:cs="Arial" w:hint="eastAsia"/>
          <w:sz w:val="24"/>
          <w:highlight w:val="white"/>
          <w:lang w:eastAsia="zh-CN"/>
        </w:rPr>
        <w:t>.</w:t>
      </w:r>
      <w:r>
        <w:rPr>
          <w:rFonts w:ascii="宋体" w:hAnsi="宋体" w:cs="Arial" w:hint="eastAsia"/>
          <w:sz w:val="24"/>
          <w:highlight w:val="white"/>
          <w:lang w:eastAsia="zh-CN"/>
        </w:rPr>
        <w:t>基金管理人应通过与基金托管人建立的系统发送有关数据，如因各种原因，该系统无法正常发送，双方可协商解决处理方式。基金管理人向基金托管人发送的数据，双方各自按有关规定保存。</w:t>
      </w:r>
    </w:p>
    <w:p w:rsidR="00CB176C">
      <w:pPr>
        <w:snapToGrid w:val="0"/>
        <w:spacing w:after="156" w:afterLines="50" w:line="288" w:lineRule="auto"/>
        <w:ind w:firstLine="480"/>
        <w:rPr>
          <w:rFonts w:ascii="宋体" w:hAnsi="宋体" w:cs="Arial"/>
          <w:sz w:val="24"/>
          <w:lang w:eastAsia="zh-CN"/>
        </w:rPr>
      </w:pPr>
      <w:r>
        <w:rPr>
          <w:rFonts w:ascii="宋体" w:hAnsi="宋体" w:cs="Arial"/>
          <w:sz w:val="24"/>
          <w:highlight w:val="white"/>
          <w:lang w:eastAsia="zh-CN"/>
        </w:rPr>
        <w:t>5</w:t>
      </w:r>
      <w:r>
        <w:rPr>
          <w:rFonts w:ascii="宋体" w:hAnsi="宋体" w:cs="Arial" w:hint="eastAsia"/>
          <w:sz w:val="24"/>
          <w:highlight w:val="white"/>
          <w:lang w:eastAsia="zh-CN"/>
        </w:rPr>
        <w:t>.</w:t>
      </w:r>
      <w:r>
        <w:rPr>
          <w:rFonts w:ascii="宋体" w:hAnsi="宋体" w:cs="Arial" w:hint="eastAsia"/>
          <w:sz w:val="24"/>
          <w:highlight w:val="white"/>
          <w:lang w:eastAsia="zh-CN"/>
        </w:rPr>
        <w:t>如基金管理人委托其他机构办理本基金的登记业务，应保证上述相关事宜按时进行。否则，由基金管理人承担相应的责任。</w:t>
      </w:r>
    </w:p>
    <w:p w:rsidR="00CB176C">
      <w:pPr>
        <w:snapToGrid w:val="0"/>
        <w:spacing w:after="156" w:afterLines="50" w:line="288" w:lineRule="auto"/>
        <w:ind w:firstLine="480"/>
        <w:rPr>
          <w:rFonts w:ascii="宋体" w:hAnsi="宋体" w:cs="Arial"/>
          <w:sz w:val="24"/>
          <w:lang w:eastAsia="zh-CN"/>
        </w:rPr>
      </w:pPr>
      <w:r>
        <w:rPr>
          <w:rFonts w:ascii="宋体" w:hAnsi="宋体" w:cs="Arial"/>
          <w:sz w:val="24"/>
          <w:highlight w:val="white"/>
          <w:lang w:eastAsia="zh-CN"/>
        </w:rPr>
        <w:t>6</w:t>
      </w:r>
      <w:r>
        <w:rPr>
          <w:rFonts w:ascii="宋体" w:hAnsi="宋体" w:cs="Arial" w:hint="eastAsia"/>
          <w:sz w:val="24"/>
          <w:highlight w:val="white"/>
          <w:lang w:eastAsia="zh-CN"/>
        </w:rPr>
        <w:t>.</w:t>
      </w:r>
      <w:r>
        <w:rPr>
          <w:rFonts w:ascii="宋体" w:hAnsi="宋体" w:cs="Arial" w:hint="eastAsia"/>
          <w:sz w:val="24"/>
          <w:highlight w:val="white"/>
          <w:lang w:eastAsia="zh-CN"/>
        </w:rPr>
        <w:t>关于清算专用账户的设立和管理</w:t>
      </w:r>
    </w:p>
    <w:p w:rsidR="00CB176C">
      <w:pPr>
        <w:snapToGrid w:val="0"/>
        <w:spacing w:after="156" w:afterLines="50" w:line="288" w:lineRule="auto"/>
        <w:ind w:firstLine="480"/>
        <w:rPr>
          <w:rFonts w:ascii="宋体" w:hAnsi="宋体" w:cs="Arial"/>
          <w:sz w:val="24"/>
          <w:lang w:eastAsia="zh-CN"/>
        </w:rPr>
      </w:pPr>
      <w:r>
        <w:rPr>
          <w:rFonts w:ascii="宋体" w:hAnsi="宋体" w:cs="Arial" w:hint="eastAsia"/>
          <w:sz w:val="24"/>
          <w:highlight w:val="white"/>
          <w:lang w:eastAsia="zh-CN"/>
        </w:rPr>
        <w:t>为满足申购、赎回及分红资金汇划的需要，由基金管理人开立资金清算的专用账户，该账户由登记机构管理。</w:t>
      </w:r>
    </w:p>
    <w:p w:rsidR="00CB176C">
      <w:pPr>
        <w:snapToGrid w:val="0"/>
        <w:spacing w:after="156" w:afterLines="50" w:line="288" w:lineRule="auto"/>
        <w:ind w:firstLine="480"/>
        <w:rPr>
          <w:rFonts w:ascii="宋体" w:hAnsi="宋体" w:cs="Arial"/>
          <w:sz w:val="24"/>
          <w:lang w:eastAsia="zh-CN"/>
        </w:rPr>
      </w:pPr>
      <w:r>
        <w:rPr>
          <w:rFonts w:ascii="宋体" w:hAnsi="宋体" w:cs="Arial"/>
          <w:sz w:val="24"/>
          <w:highlight w:val="white"/>
          <w:lang w:eastAsia="zh-CN"/>
        </w:rPr>
        <w:t>7.</w:t>
      </w:r>
      <w:r>
        <w:rPr>
          <w:rFonts w:ascii="宋体" w:hAnsi="宋体" w:cs="Arial" w:hint="eastAsia"/>
          <w:sz w:val="24"/>
          <w:highlight w:val="white"/>
          <w:lang w:eastAsia="zh-CN"/>
        </w:rPr>
        <w:t>对于基金申购过程中产生的应收款，应由基金管理人负责与有关当事人确定到账日期并通知基金托管人，</w:t>
      </w:r>
      <w:r>
        <w:rPr>
          <w:rFonts w:ascii="宋体" w:hAnsi="宋体" w:cs="Arial" w:hint="eastAsia"/>
          <w:sz w:val="24"/>
          <w:highlight w:val="white"/>
          <w:lang w:eastAsia="zh-CN"/>
        </w:rPr>
        <w:t>到账日应收款没有到达基金资金账户的，基金托管人应及时通知基金管理人采取措施进行催收，由此造成基金损失的，基金管理人应负责向有关当事人追偿基金的损失。</w:t>
      </w:r>
    </w:p>
    <w:p w:rsidR="00CB176C">
      <w:pPr>
        <w:snapToGrid w:val="0"/>
        <w:spacing w:after="156" w:afterLines="50" w:line="288" w:lineRule="auto"/>
        <w:ind w:firstLine="480"/>
        <w:rPr>
          <w:rFonts w:ascii="宋体" w:hAnsi="宋体" w:cs="Arial"/>
          <w:sz w:val="24"/>
          <w:lang w:eastAsia="zh-CN"/>
        </w:rPr>
      </w:pPr>
      <w:r>
        <w:rPr>
          <w:rFonts w:ascii="宋体" w:hAnsi="宋体" w:cs="Arial"/>
          <w:sz w:val="24"/>
          <w:highlight w:val="white"/>
          <w:lang w:eastAsia="zh-CN"/>
        </w:rPr>
        <w:t>8</w:t>
      </w:r>
      <w:r>
        <w:rPr>
          <w:rFonts w:ascii="宋体" w:hAnsi="宋体" w:cs="Arial" w:hint="eastAsia"/>
          <w:sz w:val="24"/>
          <w:highlight w:val="white"/>
          <w:lang w:eastAsia="zh-CN"/>
        </w:rPr>
        <w:t>.</w:t>
      </w:r>
      <w:r>
        <w:rPr>
          <w:rFonts w:ascii="宋体" w:hAnsi="宋体" w:cs="Arial" w:hint="eastAsia"/>
          <w:sz w:val="24"/>
          <w:highlight w:val="white"/>
          <w:lang w:eastAsia="zh-CN"/>
        </w:rPr>
        <w:t>申购、赎回和分红资金划拨规定</w:t>
      </w:r>
    </w:p>
    <w:p w:rsidR="00CB176C">
      <w:pPr>
        <w:snapToGrid w:val="0"/>
        <w:spacing w:after="156" w:afterLines="50" w:line="288" w:lineRule="auto"/>
        <w:ind w:firstLine="480"/>
        <w:rPr>
          <w:rFonts w:ascii="宋体" w:hAnsi="宋体" w:cs="Arial"/>
          <w:sz w:val="24"/>
          <w:lang w:eastAsia="zh-CN"/>
        </w:rPr>
      </w:pPr>
      <w:r>
        <w:rPr>
          <w:rFonts w:ascii="宋体" w:hAnsi="宋体" w:cs="Arial" w:hint="eastAsia"/>
          <w:sz w:val="24"/>
          <w:highlight w:val="white"/>
          <w:lang w:eastAsia="zh-CN"/>
        </w:rPr>
        <w:t>拨付申购和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CB176C">
      <w:pPr>
        <w:snapToGrid w:val="0"/>
        <w:spacing w:after="156" w:afterLines="50" w:line="288" w:lineRule="auto"/>
        <w:ind w:firstLine="480"/>
        <w:rPr>
          <w:rFonts w:ascii="宋体" w:hAnsi="宋体" w:cs="Arial"/>
          <w:sz w:val="24"/>
          <w:lang w:eastAsia="zh-CN"/>
        </w:rPr>
      </w:pPr>
      <w:r>
        <w:rPr>
          <w:rFonts w:ascii="宋体" w:hAnsi="宋体" w:cs="Arial"/>
          <w:sz w:val="24"/>
          <w:highlight w:val="white"/>
          <w:lang w:eastAsia="zh-CN"/>
        </w:rPr>
        <w:t>9</w:t>
      </w:r>
      <w:r>
        <w:rPr>
          <w:rFonts w:ascii="宋体" w:hAnsi="宋体" w:cs="Arial" w:hint="eastAsia"/>
          <w:sz w:val="24"/>
          <w:highlight w:val="white"/>
          <w:lang w:eastAsia="zh-CN"/>
        </w:rPr>
        <w:t>.</w:t>
      </w:r>
      <w:r>
        <w:rPr>
          <w:rFonts w:ascii="宋体" w:hAnsi="宋体" w:cs="Arial" w:hint="eastAsia"/>
          <w:sz w:val="24"/>
          <w:highlight w:val="white"/>
          <w:lang w:eastAsia="zh-CN"/>
        </w:rPr>
        <w:t>资金指令</w:t>
      </w:r>
    </w:p>
    <w:p w:rsidR="00CB176C">
      <w:pPr>
        <w:snapToGrid w:val="0"/>
        <w:spacing w:after="156" w:afterLines="50" w:line="288" w:lineRule="auto"/>
        <w:ind w:firstLine="480"/>
        <w:rPr>
          <w:rFonts w:ascii="宋体" w:hAnsi="宋体" w:cs="Arial"/>
          <w:sz w:val="24"/>
          <w:lang w:eastAsia="zh-CN"/>
        </w:rPr>
      </w:pPr>
      <w:r>
        <w:rPr>
          <w:rFonts w:ascii="宋体" w:hAnsi="宋体" w:cs="Arial" w:hint="eastAsia"/>
          <w:sz w:val="24"/>
          <w:highlight w:val="white"/>
          <w:lang w:eastAsia="zh-CN"/>
        </w:rPr>
        <w:t>赎回和分红资金划拨时，基金管理人需向基金托管人下达指令。</w:t>
      </w:r>
    </w:p>
    <w:p w:rsidR="00CB176C">
      <w:pPr>
        <w:snapToGrid w:val="0"/>
        <w:spacing w:after="156" w:afterLines="50" w:line="288" w:lineRule="auto"/>
        <w:ind w:firstLine="480"/>
        <w:rPr>
          <w:rFonts w:ascii="宋体" w:hAnsi="宋体" w:cs="Arial"/>
          <w:sz w:val="24"/>
          <w:lang w:eastAsia="zh-CN"/>
        </w:rPr>
      </w:pPr>
      <w:r>
        <w:rPr>
          <w:rFonts w:ascii="宋体" w:hAnsi="宋体" w:cs="Arial" w:hint="eastAsia"/>
          <w:sz w:val="24"/>
          <w:highlight w:val="white"/>
          <w:lang w:eastAsia="zh-CN"/>
        </w:rPr>
        <w:t>资金指令的格式、内容、发送、接收和确认</w:t>
      </w:r>
      <w:r>
        <w:rPr>
          <w:rFonts w:ascii="宋体" w:hAnsi="宋体" w:cs="Arial" w:hint="eastAsia"/>
          <w:sz w:val="24"/>
          <w:highlight w:val="white"/>
          <w:lang w:eastAsia="zh-CN"/>
        </w:rPr>
        <w:t>方式等与投资指令相同外，其他部分另行规定。</w:t>
      </w:r>
    </w:p>
    <w:p w:rsidR="00CB176C">
      <w:pPr>
        <w:snapToGrid w:val="0"/>
        <w:spacing w:after="156" w:afterLines="50" w:line="288" w:lineRule="auto"/>
        <w:ind w:firstLine="480"/>
        <w:rPr>
          <w:rFonts w:ascii="宋体" w:hAnsi="宋体" w:cs="Arial"/>
          <w:sz w:val="24"/>
          <w:lang w:eastAsia="zh-CN"/>
        </w:rPr>
      </w:pPr>
      <w:r>
        <w:rPr>
          <w:rFonts w:ascii="宋体" w:hAnsi="宋体" w:cs="Arial" w:hint="eastAsia"/>
          <w:sz w:val="24"/>
          <w:highlight w:val="white"/>
          <w:lang w:eastAsia="zh-CN"/>
        </w:rPr>
        <w:t>（二）申赎净额结算</w:t>
      </w:r>
    </w:p>
    <w:p w:rsidR="00CB176C">
      <w:pPr>
        <w:snapToGrid w:val="0"/>
        <w:spacing w:after="156" w:afterLines="50" w:line="288" w:lineRule="auto"/>
        <w:ind w:firstLine="480"/>
        <w:rPr>
          <w:rFonts w:ascii="宋体" w:hAnsi="宋体" w:cs="Arial"/>
          <w:sz w:val="24"/>
          <w:lang w:eastAsia="zh-CN"/>
        </w:rPr>
      </w:pPr>
      <w:r>
        <w:rPr>
          <w:rFonts w:ascii="宋体" w:hAnsi="宋体" w:cs="Arial" w:hint="eastAsia"/>
          <w:sz w:val="24"/>
          <w:highlight w:val="white"/>
          <w:lang w:eastAsia="zh-CN"/>
        </w:rPr>
        <w:t>基金托管账户与基金清算账户间的资金结算遵循“全额清算、净额交收”的原则，每日</w:t>
      </w:r>
      <w:r>
        <w:rPr>
          <w:rFonts w:ascii="宋体" w:hAnsi="宋体" w:cs="Arial" w:hint="eastAsia"/>
          <w:sz w:val="24"/>
          <w:highlight w:val="white"/>
          <w:lang w:eastAsia="zh-CN"/>
        </w:rPr>
        <w:t>(</w:t>
      </w:r>
      <w:r>
        <w:rPr>
          <w:rFonts w:ascii="宋体" w:hAnsi="宋体" w:cs="Arial" w:hint="eastAsia"/>
          <w:sz w:val="24"/>
          <w:highlight w:val="white"/>
          <w:lang w:eastAsia="zh-CN"/>
        </w:rPr>
        <w:t>即</w:t>
      </w:r>
      <w:r>
        <w:rPr>
          <w:rFonts w:ascii="宋体" w:hAnsi="宋体" w:cs="Arial" w:hint="eastAsia"/>
          <w:sz w:val="24"/>
          <w:highlight w:val="white"/>
          <w:lang w:eastAsia="zh-CN"/>
        </w:rPr>
        <w:t>T</w:t>
      </w:r>
      <w:r>
        <w:rPr>
          <w:rFonts w:ascii="宋体" w:hAnsi="宋体" w:cs="Arial" w:hint="eastAsia"/>
          <w:sz w:val="24"/>
          <w:highlight w:val="white"/>
          <w:lang w:eastAsia="zh-CN"/>
        </w:rPr>
        <w:t>日</w:t>
      </w:r>
      <w:r>
        <w:rPr>
          <w:rFonts w:ascii="宋体" w:hAnsi="宋体" w:cs="Arial" w:hint="eastAsia"/>
          <w:sz w:val="24"/>
          <w:highlight w:val="white"/>
          <w:lang w:eastAsia="zh-CN"/>
        </w:rPr>
        <w:t>(</w:t>
      </w:r>
      <w:r>
        <w:rPr>
          <w:rFonts w:ascii="宋体" w:hAnsi="宋体" w:cs="Arial" w:hint="eastAsia"/>
          <w:sz w:val="24"/>
          <w:highlight w:val="white"/>
          <w:lang w:eastAsia="zh-CN"/>
        </w:rPr>
        <w:t>资金交收日</w:t>
      </w:r>
      <w:r>
        <w:rPr>
          <w:rFonts w:ascii="宋体" w:hAnsi="宋体" w:cs="Arial" w:hint="eastAsia"/>
          <w:sz w:val="24"/>
          <w:highlight w:val="white"/>
          <w:lang w:eastAsia="zh-CN"/>
        </w:rPr>
        <w:t>)</w:t>
      </w:r>
      <w:r>
        <w:rPr>
          <w:rFonts w:ascii="宋体" w:hAnsi="宋体" w:cs="Arial" w:hint="eastAsia"/>
          <w:sz w:val="24"/>
          <w:highlight w:val="white"/>
          <w:lang w:eastAsia="zh-CN"/>
        </w:rPr>
        <w:t>，下同</w:t>
      </w:r>
      <w:r>
        <w:rPr>
          <w:rFonts w:ascii="宋体" w:hAnsi="宋体" w:cs="Arial" w:hint="eastAsia"/>
          <w:sz w:val="24"/>
          <w:highlight w:val="white"/>
          <w:lang w:eastAsia="zh-CN"/>
        </w:rPr>
        <w:t>)</w:t>
      </w:r>
      <w:r>
        <w:rPr>
          <w:rFonts w:ascii="宋体" w:hAnsi="宋体" w:cs="Arial" w:hint="eastAsia"/>
          <w:sz w:val="24"/>
          <w:highlight w:val="white"/>
          <w:lang w:eastAsia="zh-CN"/>
        </w:rPr>
        <w:t>按照托管账户应收资金与应付资金的差额来确定托管账户净应收额或净应付额，以此确定资金交收额。当存在托管账户净应收额时，基金管理人应在</w:t>
      </w:r>
      <w:r>
        <w:rPr>
          <w:rFonts w:ascii="宋体" w:hAnsi="宋体" w:cs="Arial" w:hint="eastAsia"/>
          <w:sz w:val="24"/>
          <w:highlight w:val="white"/>
          <w:lang w:eastAsia="zh-CN"/>
        </w:rPr>
        <w:t>T</w:t>
      </w:r>
      <w:r>
        <w:rPr>
          <w:rFonts w:ascii="宋体" w:hAnsi="宋体" w:cs="Arial" w:hint="eastAsia"/>
          <w:sz w:val="24"/>
          <w:highlight w:val="white"/>
          <w:lang w:eastAsia="zh-CN"/>
        </w:rPr>
        <w:t>日及时从基金清算账户划往基金托管账户；当存在托管账户净应付额时，基金管理人应及时将划款指令发送给基金托管人，基金托管人按基金管理人的划款指令将托管账户净应付额在</w:t>
      </w:r>
      <w:r>
        <w:rPr>
          <w:rFonts w:ascii="宋体" w:hAnsi="宋体" w:cs="Arial" w:hint="eastAsia"/>
          <w:sz w:val="24"/>
          <w:highlight w:val="white"/>
          <w:lang w:eastAsia="zh-CN"/>
        </w:rPr>
        <w:t>T</w:t>
      </w:r>
      <w:r>
        <w:rPr>
          <w:rFonts w:ascii="宋体" w:hAnsi="宋体" w:cs="Arial" w:hint="eastAsia"/>
          <w:sz w:val="24"/>
          <w:highlight w:val="white"/>
          <w:lang w:eastAsia="zh-CN"/>
        </w:rPr>
        <w:t>日及时划往基金清算账户。在发生巨额赎回或《基金合</w:t>
      </w:r>
      <w:r>
        <w:rPr>
          <w:rFonts w:ascii="宋体" w:hAnsi="宋体" w:cs="Arial" w:hint="eastAsia"/>
          <w:sz w:val="24"/>
          <w:highlight w:val="white"/>
          <w:lang w:eastAsia="zh-CN"/>
        </w:rPr>
        <w:t>同》载明的其他暂停赎回或延缓支付赎回款项的情形时，款项的支付办法参照《基金合同》有关条款处理。</w:t>
      </w:r>
    </w:p>
    <w:p w:rsidR="00CB176C">
      <w:pPr>
        <w:snapToGrid w:val="0"/>
        <w:spacing w:after="156" w:afterLines="50" w:line="288" w:lineRule="auto"/>
        <w:ind w:firstLine="480"/>
        <w:outlineLvl w:val="0"/>
        <w:rPr>
          <w:rFonts w:ascii="宋体" w:hAnsi="宋体" w:cs="Arial"/>
          <w:sz w:val="24"/>
          <w:lang w:eastAsia="zh-CN"/>
        </w:rPr>
      </w:pPr>
      <w:r>
        <w:rPr>
          <w:rFonts w:ascii="宋体" w:hAnsi="宋体" w:cs="Arial" w:hint="eastAsia"/>
          <w:sz w:val="24"/>
          <w:highlight w:val="white"/>
          <w:lang w:eastAsia="zh-CN"/>
        </w:rPr>
        <w:t>（三）基金现金分红</w:t>
      </w:r>
    </w:p>
    <w:p w:rsidR="00CB176C">
      <w:pPr>
        <w:snapToGrid w:val="0"/>
        <w:spacing w:after="156" w:afterLines="50" w:line="288" w:lineRule="auto"/>
        <w:ind w:firstLine="480"/>
        <w:rPr>
          <w:rFonts w:ascii="宋体" w:hAnsi="宋体" w:cs="Arial"/>
          <w:sz w:val="24"/>
          <w:lang w:eastAsia="zh-CN"/>
        </w:rPr>
      </w:pPr>
      <w:r>
        <w:rPr>
          <w:rFonts w:ascii="宋体" w:hAnsi="宋体" w:cs="Arial" w:hint="eastAsia"/>
          <w:sz w:val="24"/>
          <w:highlight w:val="white"/>
          <w:lang w:eastAsia="zh-CN"/>
        </w:rPr>
        <w:t>1.</w:t>
      </w:r>
      <w:r>
        <w:rPr>
          <w:rFonts w:ascii="宋体" w:hAnsi="宋体" w:cs="Arial" w:hint="eastAsia"/>
          <w:sz w:val="24"/>
          <w:highlight w:val="white"/>
          <w:lang w:eastAsia="zh-CN"/>
        </w:rPr>
        <w:t>基金管理人确定分红方案通知基金托管人，双方核定后在</w:t>
      </w:r>
      <w:r>
        <w:rPr>
          <w:rFonts w:ascii="宋体" w:hAnsi="宋体" w:cs="Arial" w:hint="eastAsia"/>
          <w:sz w:val="24"/>
          <w:highlight w:val="white"/>
          <w:lang w:eastAsia="zh-CN"/>
        </w:rPr>
        <w:t>2</w:t>
      </w:r>
      <w:r>
        <w:rPr>
          <w:rFonts w:ascii="宋体" w:hAnsi="宋体" w:cs="Arial" w:hint="eastAsia"/>
          <w:sz w:val="24"/>
          <w:highlight w:val="white"/>
          <w:lang w:eastAsia="zh-CN"/>
        </w:rPr>
        <w:t>日内在中国证监会规定媒介上公告。</w:t>
      </w:r>
    </w:p>
    <w:p w:rsidR="00CB176C">
      <w:pPr>
        <w:snapToGrid w:val="0"/>
        <w:spacing w:after="156" w:afterLines="50" w:line="288" w:lineRule="auto"/>
        <w:ind w:firstLine="480"/>
        <w:rPr>
          <w:rFonts w:ascii="宋体" w:hAnsi="宋体" w:cs="Arial"/>
          <w:sz w:val="24"/>
          <w:lang w:eastAsia="zh-CN"/>
        </w:rPr>
      </w:pPr>
      <w:r>
        <w:rPr>
          <w:rFonts w:ascii="宋体" w:hAnsi="宋体" w:cs="Arial" w:hint="eastAsia"/>
          <w:sz w:val="24"/>
          <w:highlight w:val="white"/>
          <w:lang w:eastAsia="zh-CN"/>
        </w:rPr>
        <w:t>2.</w:t>
      </w:r>
      <w:r>
        <w:rPr>
          <w:rFonts w:ascii="宋体" w:hAnsi="宋体" w:cs="Arial" w:hint="eastAsia"/>
          <w:sz w:val="24"/>
          <w:highlight w:val="white"/>
          <w:lang w:eastAsia="zh-CN"/>
        </w:rPr>
        <w:t>基金托管人和基金管理人对基金分红进行账务处理并核对后，基金管理人向基金托管人发送现金红利的划款指令，基金托管人应及时将资金划入</w:t>
      </w:r>
      <w:r>
        <w:rPr>
          <w:rFonts w:ascii="宋体" w:hAnsi="宋体" w:cs="Arial"/>
          <w:sz w:val="24"/>
          <w:highlight w:val="white"/>
          <w:lang w:eastAsia="zh-CN"/>
        </w:rPr>
        <w:t>指定</w:t>
      </w:r>
      <w:r>
        <w:rPr>
          <w:rFonts w:ascii="宋体" w:hAnsi="宋体" w:cs="Arial" w:hint="eastAsia"/>
          <w:sz w:val="24"/>
          <w:highlight w:val="white"/>
          <w:lang w:eastAsia="zh-CN"/>
        </w:rPr>
        <w:t>账户。</w:t>
      </w:r>
    </w:p>
    <w:p w:rsidR="00CB176C">
      <w:pPr>
        <w:snapToGrid w:val="0"/>
        <w:spacing w:after="156" w:afterLines="50" w:line="288" w:lineRule="auto"/>
        <w:ind w:firstLine="480"/>
        <w:rPr>
          <w:rFonts w:ascii="宋体" w:hAnsi="宋体" w:cs="Arial"/>
          <w:sz w:val="24"/>
          <w:lang w:eastAsia="zh-CN"/>
        </w:rPr>
      </w:pPr>
      <w:r>
        <w:rPr>
          <w:rFonts w:ascii="宋体" w:hAnsi="宋体" w:cs="Arial" w:hint="eastAsia"/>
          <w:sz w:val="24"/>
          <w:highlight w:val="white"/>
          <w:lang w:eastAsia="zh-CN"/>
        </w:rPr>
        <w:t>3.</w:t>
      </w:r>
      <w:r>
        <w:rPr>
          <w:rFonts w:ascii="宋体" w:hAnsi="宋体" w:cs="Arial" w:hint="eastAsia"/>
          <w:sz w:val="24"/>
          <w:highlight w:val="white"/>
          <w:lang w:eastAsia="zh-CN"/>
        </w:rPr>
        <w:t>基金管理人在下达指令时，应给基金托管人留出必需的划款时间。</w:t>
      </w:r>
    </w:p>
    <w:p w:rsidR="00CB176C">
      <w:pPr>
        <w:pStyle w:val="Heading2"/>
        <w:spacing w:before="0" w:after="156" w:afterLines="50" w:line="288" w:lineRule="auto"/>
        <w:jc w:val="center"/>
        <w:rPr>
          <w:rFonts w:ascii="宋体" w:eastAsia="宋体" w:hAnsi="宋体"/>
          <w:sz w:val="30"/>
          <w:lang w:eastAsia="zh-CN"/>
        </w:rPr>
      </w:pPr>
      <w:bookmarkStart w:id="114" w:name="_Toc205489770"/>
      <w:bookmarkStart w:id="115" w:name="_Toc124325892"/>
      <w:r>
        <w:rPr>
          <w:rFonts w:ascii="宋体" w:eastAsia="宋体" w:hAnsi="宋体" w:hint="eastAsia"/>
          <w:sz w:val="30"/>
          <w:highlight w:val="white"/>
          <w:lang w:eastAsia="zh-CN"/>
        </w:rPr>
        <w:t>九、基金资产净值计算和会计核算</w:t>
      </w:r>
      <w:bookmarkEnd w:id="114"/>
      <w:bookmarkEnd w:id="115"/>
    </w:p>
    <w:p w:rsidR="00CB176C">
      <w:pPr>
        <w:pStyle w:val="NormalIndent"/>
        <w:rPr>
          <w:lang w:eastAsia="zh-CN"/>
        </w:rPr>
      </w:pPr>
    </w:p>
    <w:p w:rsidR="00CB176C">
      <w:pPr>
        <w:snapToGrid w:val="0"/>
        <w:spacing w:after="156" w:afterLines="50" w:line="288" w:lineRule="auto"/>
        <w:ind w:firstLine="480" w:firstLineChars="200"/>
        <w:outlineLvl w:val="0"/>
        <w:rPr>
          <w:rFonts w:ascii="宋体" w:hAnsi="宋体" w:cs="Arial"/>
          <w:sz w:val="24"/>
          <w:lang w:eastAsia="zh-CN"/>
        </w:rPr>
      </w:pPr>
      <w:r>
        <w:rPr>
          <w:rFonts w:ascii="宋体" w:hAnsi="宋体" w:cs="Arial" w:hint="eastAsia"/>
          <w:sz w:val="24"/>
          <w:highlight w:val="white"/>
          <w:lang w:eastAsia="zh-CN"/>
        </w:rPr>
        <w:t>（一）基金资产净值的计算、复核与完成的时间及程序</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1.</w:t>
      </w:r>
      <w:r>
        <w:rPr>
          <w:rFonts w:ascii="宋体" w:hAnsi="宋体" w:cs="Arial" w:hint="eastAsia"/>
          <w:sz w:val="24"/>
          <w:highlight w:val="white"/>
          <w:lang w:eastAsia="zh-CN"/>
        </w:rPr>
        <w:t>基金资产净值是指基金资产总值减去负债的金额。基金份额净值是按照每个估值日闭市后，基金资产净值除以基金份额的余额数量计算，精确到</w:t>
      </w:r>
      <w:r>
        <w:rPr>
          <w:rFonts w:ascii="宋体" w:hAnsi="宋体" w:cs="Arial" w:hint="eastAsia"/>
          <w:sz w:val="24"/>
          <w:highlight w:val="white"/>
          <w:lang w:eastAsia="zh-CN"/>
        </w:rPr>
        <w:t>0.0001</w:t>
      </w:r>
      <w:r>
        <w:rPr>
          <w:rFonts w:ascii="宋体" w:hAnsi="宋体" w:cs="Arial" w:hint="eastAsia"/>
          <w:sz w:val="24"/>
          <w:highlight w:val="white"/>
          <w:lang w:eastAsia="zh-CN"/>
        </w:rPr>
        <w:t>元，小数点后第五位四舍五入。基金管理人可以设立大额赎回情形下的净值精度应急调整机制。国家另有规定的，从其规定。</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2.</w:t>
      </w:r>
      <w:r>
        <w:rPr>
          <w:rFonts w:ascii="宋体" w:hAnsi="宋体" w:cs="Arial" w:hint="eastAsia"/>
          <w:sz w:val="24"/>
          <w:highlight w:val="white"/>
          <w:lang w:eastAsia="zh-CN"/>
        </w:rPr>
        <w:t>复核程序</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基金资产净值和基金份额净值由基金管理人负责计算，基金托管人负责进行复核。基金管理人应于每个估值日</w:t>
      </w:r>
      <w:r>
        <w:rPr>
          <w:rFonts w:hint="eastAsia"/>
          <w:bCs/>
          <w:sz w:val="24"/>
          <w:highlight w:val="white"/>
          <w:lang w:eastAsia="zh-CN"/>
        </w:rPr>
        <w:t>当日收市后</w:t>
      </w:r>
      <w:r>
        <w:rPr>
          <w:rFonts w:ascii="宋体" w:hAnsi="宋体" w:cs="Arial" w:hint="eastAsia"/>
          <w:sz w:val="24"/>
          <w:highlight w:val="white"/>
          <w:lang w:eastAsia="zh-CN"/>
        </w:rPr>
        <w:t>计算基金份额净值并发送给基金托管人，经基金托管人复核无误后，由基金管理人按约定对外公布。基金管理人根据法律法规或基金合同的规定暂停估值时除外。</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（二）基金资产估值方法和特殊情形的处理</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1.</w:t>
      </w:r>
      <w:r>
        <w:rPr>
          <w:rFonts w:ascii="宋体" w:hAnsi="宋体" w:cs="Arial" w:hint="eastAsia"/>
          <w:sz w:val="24"/>
          <w:highlight w:val="white"/>
          <w:lang w:eastAsia="zh-CN"/>
        </w:rPr>
        <w:t>估值对象</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基金所拥有的股票、债券和银行存款本息、应收款项、其它投资等资产及负债。</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2.</w:t>
      </w:r>
      <w:r>
        <w:rPr>
          <w:rFonts w:ascii="宋体" w:hAnsi="宋体" w:cs="Arial" w:hint="eastAsia"/>
          <w:sz w:val="24"/>
          <w:highlight w:val="white"/>
          <w:lang w:eastAsia="zh-CN"/>
        </w:rPr>
        <w:t>估值时间</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基金合同生效后，</w:t>
      </w:r>
      <w:r>
        <w:rPr>
          <w:bCs/>
          <w:sz w:val="24"/>
          <w:highlight w:val="white"/>
          <w:lang w:eastAsia="zh-CN"/>
        </w:rPr>
        <w:t>每个估值日</w:t>
      </w:r>
      <w:r>
        <w:rPr>
          <w:rFonts w:hint="eastAsia"/>
          <w:bCs/>
          <w:sz w:val="24"/>
          <w:highlight w:val="white"/>
          <w:lang w:eastAsia="zh-CN"/>
        </w:rPr>
        <w:t>的基金份额净值由基金管理人于估值日当日收市后</w:t>
      </w:r>
      <w:r>
        <w:rPr>
          <w:bCs/>
          <w:sz w:val="24"/>
          <w:highlight w:val="white"/>
          <w:lang w:eastAsia="zh-CN"/>
        </w:rPr>
        <w:t>计算</w:t>
      </w:r>
      <w:r>
        <w:rPr>
          <w:rFonts w:hint="eastAsia"/>
          <w:bCs/>
          <w:sz w:val="24"/>
          <w:highlight w:val="white"/>
          <w:lang w:eastAsia="zh-CN"/>
        </w:rPr>
        <w:t>，</w:t>
      </w:r>
      <w:r>
        <w:rPr>
          <w:bCs/>
          <w:sz w:val="24"/>
          <w:highlight w:val="white"/>
          <w:lang w:eastAsia="zh-CN"/>
        </w:rPr>
        <w:t>但基金管理人根据法律法规或基金合同的规定暂停估值时除外</w:t>
      </w:r>
      <w:r>
        <w:rPr>
          <w:rFonts w:ascii="宋体" w:hAnsi="宋体" w:cs="Arial" w:hint="eastAsia"/>
          <w:sz w:val="24"/>
          <w:highlight w:val="white"/>
          <w:lang w:eastAsia="zh-CN"/>
        </w:rPr>
        <w:t>。</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3.</w:t>
      </w:r>
      <w:r>
        <w:rPr>
          <w:rFonts w:ascii="宋体" w:hAnsi="宋体" w:cs="Arial" w:hint="eastAsia"/>
          <w:sz w:val="24"/>
          <w:highlight w:val="white"/>
          <w:lang w:eastAsia="zh-CN"/>
        </w:rPr>
        <w:t>估值方法</w:t>
      </w:r>
    </w:p>
    <w:p w:rsidR="00CB176C">
      <w:pPr>
        <w:spacing w:line="360" w:lineRule="auto"/>
        <w:ind w:firstLine="480" w:firstLineChars="200"/>
        <w:rPr>
          <w:bCs/>
          <w:sz w:val="24"/>
          <w:lang w:eastAsia="zh-CN"/>
        </w:rPr>
      </w:pPr>
      <w:r>
        <w:rPr>
          <w:rFonts w:ascii="宋体" w:hAnsi="宋体" w:cs="宋体" w:hint="eastAsia"/>
          <w:bCs/>
          <w:sz w:val="24"/>
          <w:lang w:eastAsia="zh-CN"/>
        </w:rPr>
        <w:t>（</w:t>
      </w:r>
      <w:r>
        <w:rPr>
          <w:rFonts w:ascii="宋体" w:hAnsi="宋体" w:cs="宋体" w:hint="eastAsia"/>
          <w:bCs/>
          <w:sz w:val="24"/>
          <w:highlight w:val="white"/>
          <w:lang w:eastAsia="zh-CN"/>
        </w:rPr>
        <w:t>1</w:t>
      </w:r>
      <w:r>
        <w:rPr>
          <w:rFonts w:ascii="宋体" w:hAnsi="宋体" w:cs="宋体" w:hint="eastAsia"/>
          <w:bCs/>
          <w:sz w:val="24"/>
          <w:highlight w:val="white"/>
          <w:lang w:eastAsia="zh-CN"/>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CB176C">
      <w:pPr>
        <w:spacing w:line="360" w:lineRule="auto"/>
        <w:ind w:firstLine="480" w:firstLineChars="200"/>
        <w:rPr>
          <w:bCs/>
          <w:sz w:val="24"/>
          <w:lang w:eastAsia="zh-CN"/>
        </w:rPr>
      </w:pPr>
      <w:r>
        <w:rPr>
          <w:rFonts w:ascii="宋体" w:hAnsi="宋体" w:cs="宋体" w:hint="eastAsia"/>
          <w:bCs/>
          <w:sz w:val="24"/>
          <w:lang w:eastAsia="zh-CN"/>
        </w:rPr>
        <w:t>（</w:t>
      </w:r>
      <w:r>
        <w:rPr>
          <w:rFonts w:ascii="宋体" w:hAnsi="宋体" w:cs="宋体" w:hint="eastAsia"/>
          <w:bCs/>
          <w:sz w:val="24"/>
          <w:highlight w:val="white"/>
          <w:lang w:eastAsia="zh-CN"/>
        </w:rPr>
        <w:t>2</w:t>
      </w:r>
      <w:r>
        <w:rPr>
          <w:rFonts w:ascii="宋体" w:hAnsi="宋体" w:cs="宋体" w:hint="eastAsia"/>
          <w:bCs/>
          <w:sz w:val="24"/>
          <w:highlight w:val="white"/>
          <w:lang w:eastAsia="zh-CN"/>
        </w:rPr>
        <w:t>）处于未上市期间的有价证券应区分如下情况处理：</w:t>
      </w:r>
    </w:p>
    <w:p w:rsidR="00CB176C">
      <w:pPr>
        <w:spacing w:line="360" w:lineRule="auto"/>
        <w:ind w:firstLine="480" w:firstLineChars="200"/>
        <w:rPr>
          <w:bCs/>
          <w:sz w:val="24"/>
          <w:lang w:eastAsia="zh-CN"/>
        </w:rPr>
      </w:pPr>
      <w:r>
        <w:rPr>
          <w:rFonts w:ascii="宋体" w:hAnsi="宋体" w:cs="宋体" w:hint="eastAsia"/>
          <w:bCs/>
          <w:sz w:val="24"/>
          <w:highlight w:val="white"/>
          <w:lang w:eastAsia="zh-CN"/>
        </w:rPr>
        <w:t>1</w:t>
      </w:r>
      <w:r>
        <w:rPr>
          <w:rFonts w:ascii="宋体" w:hAnsi="宋体" w:cs="宋体" w:hint="eastAsia"/>
          <w:bCs/>
          <w:sz w:val="24"/>
          <w:highlight w:val="white"/>
          <w:lang w:eastAsia="zh-CN"/>
        </w:rPr>
        <w:t>）送股、转增股、配股和公开增发的新股，按估值日在证券交易所挂牌的同一股票的估值方法</w:t>
      </w:r>
      <w:r>
        <w:rPr>
          <w:rFonts w:ascii="宋体" w:hAnsi="宋体" w:cs="宋体" w:hint="eastAsia"/>
          <w:bCs/>
          <w:sz w:val="24"/>
          <w:highlight w:val="white"/>
          <w:lang w:eastAsia="zh-CN"/>
        </w:rPr>
        <w:t>估值；该日无交易的，以最近一日的市价（收盘价）估值；</w:t>
      </w:r>
    </w:p>
    <w:p w:rsidR="00CB176C">
      <w:pPr>
        <w:spacing w:line="360" w:lineRule="auto"/>
        <w:ind w:firstLine="480" w:firstLineChars="200"/>
        <w:rPr>
          <w:bCs/>
          <w:sz w:val="24"/>
          <w:lang w:eastAsia="zh-CN"/>
        </w:rPr>
      </w:pPr>
      <w:r>
        <w:rPr>
          <w:rFonts w:ascii="宋体" w:hAnsi="宋体" w:cs="宋体" w:hint="eastAsia"/>
          <w:bCs/>
          <w:sz w:val="24"/>
          <w:highlight w:val="white"/>
          <w:lang w:eastAsia="zh-CN"/>
        </w:rPr>
        <w:t>2</w:t>
      </w:r>
      <w:r>
        <w:rPr>
          <w:rFonts w:ascii="宋体" w:hAnsi="宋体" w:cs="宋体" w:hint="eastAsia"/>
          <w:bCs/>
          <w:sz w:val="24"/>
          <w:highlight w:val="white"/>
          <w:lang w:eastAsia="zh-CN"/>
        </w:rPr>
        <w:t>）首次公开发行未上市的股票，采用估值技术确定公允价值；</w:t>
      </w:r>
    </w:p>
    <w:p w:rsidR="00CB176C">
      <w:pPr>
        <w:spacing w:line="360" w:lineRule="auto"/>
        <w:ind w:firstLine="480" w:firstLineChars="200"/>
        <w:rPr>
          <w:bCs/>
          <w:sz w:val="24"/>
          <w:lang w:eastAsia="zh-CN"/>
        </w:rPr>
      </w:pPr>
      <w:r>
        <w:rPr>
          <w:rFonts w:ascii="宋体" w:hAnsi="宋体" w:cs="宋体" w:hint="eastAsia"/>
          <w:bCs/>
          <w:sz w:val="24"/>
          <w:highlight w:val="white"/>
          <w:lang w:eastAsia="zh-CN"/>
        </w:rPr>
        <w:t>3</w:t>
      </w:r>
      <w:r>
        <w:rPr>
          <w:rFonts w:ascii="宋体" w:hAnsi="宋体" w:cs="宋体" w:hint="eastAsia"/>
          <w:bCs/>
          <w:sz w:val="24"/>
          <w:highlight w:val="white"/>
          <w:lang w:eastAsia="zh-CN"/>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CB176C">
      <w:pPr>
        <w:spacing w:line="360" w:lineRule="auto"/>
        <w:ind w:firstLine="480" w:firstLineChars="200"/>
        <w:rPr>
          <w:bCs/>
          <w:sz w:val="24"/>
          <w:lang w:eastAsia="zh-CN"/>
        </w:rPr>
      </w:pPr>
      <w:r>
        <w:rPr>
          <w:rFonts w:ascii="宋体" w:hAnsi="宋体" w:cs="宋体" w:hint="eastAsia"/>
          <w:bCs/>
          <w:sz w:val="24"/>
          <w:lang w:eastAsia="zh-CN"/>
        </w:rPr>
        <w:t>（</w:t>
      </w:r>
      <w:r>
        <w:rPr>
          <w:rFonts w:ascii="宋体" w:hAnsi="宋体" w:cs="宋体" w:hint="eastAsia"/>
          <w:bCs/>
          <w:sz w:val="24"/>
          <w:highlight w:val="white"/>
          <w:lang w:eastAsia="zh-CN"/>
        </w:rPr>
        <w:t>3</w:t>
      </w:r>
      <w:r>
        <w:rPr>
          <w:rFonts w:ascii="宋体" w:hAnsi="宋体" w:cs="宋体" w:hint="eastAsia"/>
          <w:bCs/>
          <w:sz w:val="24"/>
          <w:highlight w:val="white"/>
          <w:lang w:eastAsia="zh-CN"/>
        </w:rPr>
        <w:t>）对于已上市或已挂牌转让的不含权固定收益品种，选取估值日第三方估值基准服务机构提供的相应品种当日的估值全价进行估值。</w:t>
      </w:r>
    </w:p>
    <w:p w:rsidR="00CB176C">
      <w:pPr>
        <w:spacing w:line="360" w:lineRule="auto"/>
        <w:ind w:firstLine="480" w:firstLineChars="200"/>
        <w:rPr>
          <w:bCs/>
          <w:sz w:val="24"/>
          <w:lang w:eastAsia="zh-CN"/>
        </w:rPr>
      </w:pPr>
      <w:r>
        <w:rPr>
          <w:rFonts w:ascii="宋体" w:hAnsi="宋体" w:cs="宋体" w:hint="eastAsia"/>
          <w:bCs/>
          <w:sz w:val="24"/>
          <w:lang w:eastAsia="zh-CN"/>
        </w:rPr>
        <w:t>（</w:t>
      </w:r>
      <w:r>
        <w:rPr>
          <w:rFonts w:ascii="宋体" w:hAnsi="宋体" w:cs="宋体" w:hint="eastAsia"/>
          <w:bCs/>
          <w:sz w:val="24"/>
          <w:highlight w:val="white"/>
          <w:lang w:eastAsia="zh-CN"/>
        </w:rPr>
        <w:t>4</w:t>
      </w:r>
      <w:r>
        <w:rPr>
          <w:rFonts w:ascii="宋体" w:hAnsi="宋体" w:cs="宋体" w:hint="eastAsia"/>
          <w:bCs/>
          <w:sz w:val="24"/>
          <w:highlight w:val="white"/>
          <w:lang w:eastAsia="zh-CN"/>
        </w:rPr>
        <w:t>）对于已上市或已挂牌转让的含</w:t>
      </w:r>
      <w:r>
        <w:rPr>
          <w:rFonts w:ascii="宋体" w:hAnsi="宋体" w:cs="宋体" w:hint="eastAsia"/>
          <w:bCs/>
          <w:sz w:val="24"/>
          <w:highlight w:val="white"/>
          <w:lang w:eastAsia="zh-CN"/>
        </w:rPr>
        <w:t>权固定收益品种，选取估值日第三方估值基准服务机构提供的相应品种当日的唯一估值全价或推荐估值全价进行估值。</w:t>
      </w:r>
    </w:p>
    <w:p w:rsidR="00CB176C">
      <w:pPr>
        <w:spacing w:line="360" w:lineRule="auto"/>
        <w:ind w:firstLine="480" w:firstLineChars="200"/>
        <w:rPr>
          <w:bCs/>
          <w:sz w:val="24"/>
          <w:lang w:eastAsia="zh-CN"/>
        </w:rPr>
      </w:pPr>
      <w:r>
        <w:rPr>
          <w:rFonts w:hint="eastAsia"/>
          <w:bCs/>
          <w:sz w:val="24"/>
          <w:highlight w:val="white"/>
          <w:lang w:eastAsia="zh-CN"/>
        </w:rPr>
        <w:t>对于含投资者回售权的固定收益品种，行使回售权的，在回售登记日至实际收款日期间选取第三方估值基准服务机构提供的相应品种的唯一估值全价或推荐估值全价进行估值。回售登记期截止日（含当日）后未行使回售权的按照长待偿期所对应的价格进行估值。</w:t>
      </w:r>
    </w:p>
    <w:p w:rsidR="00CB176C">
      <w:pPr>
        <w:spacing w:line="360" w:lineRule="auto"/>
        <w:ind w:firstLine="480" w:firstLineChars="200"/>
        <w:rPr>
          <w:bCs/>
          <w:sz w:val="24"/>
          <w:lang w:eastAsia="zh-CN"/>
        </w:rPr>
      </w:pPr>
      <w:r>
        <w:rPr>
          <w:rFonts w:ascii="宋体" w:hAnsi="宋体" w:cs="宋体" w:hint="eastAsia"/>
          <w:bCs/>
          <w:sz w:val="24"/>
          <w:lang w:eastAsia="zh-CN"/>
        </w:rPr>
        <w:t>（</w:t>
      </w:r>
      <w:r>
        <w:rPr>
          <w:rFonts w:ascii="宋体" w:hAnsi="宋体" w:cs="宋体" w:hint="eastAsia"/>
          <w:bCs/>
          <w:sz w:val="24"/>
          <w:highlight w:val="white"/>
          <w:lang w:eastAsia="zh-CN"/>
        </w:rPr>
        <w:t>5</w:t>
      </w:r>
      <w:r>
        <w:rPr>
          <w:rFonts w:ascii="宋体" w:hAnsi="宋体" w:cs="宋体" w:hint="eastAsia"/>
          <w:bCs/>
          <w:sz w:val="24"/>
          <w:highlight w:val="white"/>
          <w:lang w:eastAsia="zh-CN"/>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CB176C">
      <w:pPr>
        <w:spacing w:line="360" w:lineRule="auto"/>
        <w:ind w:firstLine="480" w:firstLineChars="200"/>
        <w:rPr>
          <w:bCs/>
          <w:sz w:val="24"/>
          <w:lang w:eastAsia="zh-CN"/>
        </w:rPr>
      </w:pPr>
      <w:r>
        <w:rPr>
          <w:rFonts w:ascii="宋体" w:hAnsi="宋体" w:cs="宋体" w:hint="eastAsia"/>
          <w:bCs/>
          <w:sz w:val="24"/>
          <w:lang w:eastAsia="zh-CN"/>
        </w:rPr>
        <w:t>（</w:t>
      </w:r>
      <w:r>
        <w:rPr>
          <w:rFonts w:ascii="宋体" w:hAnsi="宋体" w:cs="宋体" w:hint="eastAsia"/>
          <w:bCs/>
          <w:sz w:val="24"/>
          <w:highlight w:val="white"/>
          <w:lang w:eastAsia="zh-CN"/>
        </w:rPr>
        <w:t>6</w:t>
      </w:r>
      <w:r>
        <w:rPr>
          <w:rFonts w:ascii="宋体" w:hAnsi="宋体" w:cs="宋体" w:hint="eastAsia"/>
          <w:bCs/>
          <w:sz w:val="24"/>
          <w:highlight w:val="white"/>
          <w:lang w:eastAsia="zh-CN"/>
        </w:rPr>
        <w:t>）对于未上市或未挂牌转让且不存在活跃市场的固定收益品种，采用在当前情况下适用并且有足够可利用数据和其他信息支持的估值技术确定其公允价值。</w:t>
      </w:r>
    </w:p>
    <w:p w:rsidR="00CB176C">
      <w:pPr>
        <w:spacing w:line="360" w:lineRule="auto"/>
        <w:ind w:firstLine="480" w:firstLineChars="200"/>
        <w:rPr>
          <w:bCs/>
          <w:sz w:val="24"/>
          <w:lang w:eastAsia="zh-CN"/>
        </w:rPr>
      </w:pPr>
      <w:r>
        <w:rPr>
          <w:rFonts w:ascii="宋体" w:hAnsi="宋体" w:cs="宋体" w:hint="eastAsia"/>
          <w:bCs/>
          <w:sz w:val="24"/>
          <w:lang w:eastAsia="zh-CN"/>
        </w:rPr>
        <w:t>（</w:t>
      </w:r>
      <w:r>
        <w:rPr>
          <w:rFonts w:ascii="宋体" w:hAnsi="宋体" w:cs="宋体" w:hint="eastAsia"/>
          <w:bCs/>
          <w:sz w:val="24"/>
          <w:highlight w:val="white"/>
          <w:lang w:eastAsia="zh-CN"/>
        </w:rPr>
        <w:t>7</w:t>
      </w:r>
      <w:r>
        <w:rPr>
          <w:rFonts w:ascii="宋体" w:hAnsi="宋体" w:cs="宋体" w:hint="eastAsia"/>
          <w:bCs/>
          <w:sz w:val="24"/>
          <w:highlight w:val="white"/>
          <w:lang w:eastAsia="zh-CN"/>
        </w:rPr>
        <w:t>）期货合约以估值当日结算价进行估值，估值当日无结算价的，且最近交易日后经济环境未发生重大变化的，采用最近交易日结算价估值。</w:t>
      </w:r>
    </w:p>
    <w:p w:rsidR="00CB176C">
      <w:pPr>
        <w:spacing w:line="360" w:lineRule="auto"/>
        <w:ind w:firstLine="480" w:firstLineChars="200"/>
        <w:rPr>
          <w:bCs/>
          <w:sz w:val="24"/>
          <w:lang w:eastAsia="zh-CN"/>
        </w:rPr>
      </w:pPr>
      <w:r>
        <w:rPr>
          <w:rFonts w:ascii="宋体" w:hAnsi="宋体" w:cs="宋体" w:hint="eastAsia"/>
          <w:bCs/>
          <w:sz w:val="24"/>
          <w:lang w:eastAsia="zh-CN"/>
        </w:rPr>
        <w:t>（</w:t>
      </w:r>
      <w:r>
        <w:rPr>
          <w:rFonts w:ascii="宋体" w:hAnsi="宋体" w:cs="宋体" w:hint="eastAsia"/>
          <w:bCs/>
          <w:sz w:val="24"/>
          <w:highlight w:val="white"/>
          <w:lang w:eastAsia="zh-CN"/>
        </w:rPr>
        <w:t>8</w:t>
      </w:r>
      <w:r>
        <w:rPr>
          <w:rFonts w:ascii="宋体" w:hAnsi="宋体" w:cs="宋体" w:hint="eastAsia"/>
          <w:bCs/>
          <w:sz w:val="24"/>
          <w:highlight w:val="white"/>
          <w:lang w:eastAsia="zh-CN"/>
        </w:rPr>
        <w:t>）本基金投资期权，根据相关法律法规以及</w:t>
      </w:r>
      <w:r>
        <w:rPr>
          <w:rFonts w:ascii="宋体" w:hAnsi="宋体" w:cs="宋体" w:hint="eastAsia"/>
          <w:bCs/>
          <w:sz w:val="24"/>
          <w:highlight w:val="white"/>
          <w:lang w:eastAsia="zh-CN"/>
        </w:rPr>
        <w:t>监管部门的规定估值。</w:t>
      </w:r>
    </w:p>
    <w:p w:rsidR="00CB176C">
      <w:pPr>
        <w:spacing w:line="360" w:lineRule="auto"/>
        <w:ind w:firstLine="480" w:firstLineChars="200"/>
        <w:rPr>
          <w:bCs/>
          <w:sz w:val="24"/>
          <w:lang w:eastAsia="zh-CN"/>
        </w:rPr>
      </w:pPr>
      <w:r>
        <w:rPr>
          <w:rFonts w:ascii="宋体" w:hAnsi="宋体" w:cs="宋体" w:hint="eastAsia"/>
          <w:bCs/>
          <w:sz w:val="24"/>
          <w:lang w:eastAsia="zh-CN"/>
        </w:rPr>
        <w:t>（</w:t>
      </w:r>
      <w:r>
        <w:rPr>
          <w:rFonts w:ascii="宋体" w:hAnsi="宋体" w:cs="宋体" w:hint="eastAsia"/>
          <w:bCs/>
          <w:sz w:val="24"/>
          <w:highlight w:val="white"/>
          <w:lang w:eastAsia="zh-CN"/>
        </w:rPr>
        <w:t>9</w:t>
      </w:r>
      <w:r>
        <w:rPr>
          <w:rFonts w:ascii="宋体" w:hAnsi="宋体" w:cs="宋体" w:hint="eastAsia"/>
          <w:bCs/>
          <w:sz w:val="24"/>
          <w:highlight w:val="white"/>
          <w:lang w:eastAsia="zh-CN"/>
        </w:rPr>
        <w:t>）本基金参与融资业务的，按照相关法律法规、监管部门和行业协会的相关规定进行估值。</w:t>
      </w:r>
    </w:p>
    <w:p w:rsidR="00CB176C">
      <w:pPr>
        <w:spacing w:line="360" w:lineRule="auto"/>
        <w:ind w:firstLine="480" w:firstLineChars="200"/>
        <w:rPr>
          <w:bCs/>
          <w:sz w:val="24"/>
          <w:lang w:eastAsia="zh-CN"/>
        </w:rPr>
      </w:pPr>
      <w:r>
        <w:rPr>
          <w:rFonts w:ascii="宋体" w:hAnsi="宋体" w:cs="宋体" w:hint="eastAsia"/>
          <w:bCs/>
          <w:sz w:val="24"/>
          <w:lang w:eastAsia="zh-CN"/>
        </w:rPr>
        <w:t>（</w:t>
      </w:r>
      <w:r>
        <w:rPr>
          <w:rFonts w:ascii="宋体" w:hAnsi="宋体" w:cs="宋体" w:hint="eastAsia"/>
          <w:bCs/>
          <w:sz w:val="24"/>
          <w:highlight w:val="white"/>
          <w:lang w:eastAsia="zh-CN"/>
        </w:rPr>
        <w:t>10</w:t>
      </w:r>
      <w:r>
        <w:rPr>
          <w:rFonts w:ascii="宋体" w:hAnsi="宋体" w:cs="宋体" w:hint="eastAsia"/>
          <w:bCs/>
          <w:sz w:val="24"/>
          <w:highlight w:val="white"/>
          <w:lang w:eastAsia="zh-CN"/>
        </w:rPr>
        <w:t>）本基金投资存托凭证的估值核算，依照境内上市交易的股票执行。</w:t>
      </w:r>
    </w:p>
    <w:p w:rsidR="00CB176C">
      <w:pPr>
        <w:spacing w:line="360" w:lineRule="auto"/>
        <w:ind w:firstLine="480" w:firstLineChars="200"/>
        <w:rPr>
          <w:bCs/>
          <w:sz w:val="24"/>
          <w:lang w:eastAsia="zh-CN"/>
        </w:rPr>
      </w:pPr>
      <w:r>
        <w:rPr>
          <w:rFonts w:ascii="宋体" w:hAnsi="宋体" w:cs="宋体" w:hint="eastAsia"/>
          <w:bCs/>
          <w:sz w:val="24"/>
          <w:lang w:eastAsia="zh-CN"/>
        </w:rPr>
        <w:t>（</w:t>
      </w:r>
      <w:r>
        <w:rPr>
          <w:rFonts w:ascii="宋体" w:hAnsi="宋体" w:cs="宋体" w:hint="eastAsia"/>
          <w:bCs/>
          <w:sz w:val="24"/>
          <w:highlight w:val="white"/>
          <w:lang w:eastAsia="zh-CN"/>
        </w:rPr>
        <w:t>11</w:t>
      </w:r>
      <w:r>
        <w:rPr>
          <w:rFonts w:ascii="宋体" w:hAnsi="宋体" w:cs="宋体" w:hint="eastAsia"/>
          <w:bCs/>
          <w:sz w:val="24"/>
          <w:highlight w:val="white"/>
          <w:lang w:eastAsia="zh-CN"/>
        </w:rPr>
        <w:t>）汇率</w:t>
      </w:r>
    </w:p>
    <w:p w:rsidR="00CB176C">
      <w:pPr>
        <w:spacing w:line="360" w:lineRule="auto"/>
        <w:ind w:firstLine="480" w:firstLineChars="200"/>
        <w:rPr>
          <w:bCs/>
          <w:sz w:val="24"/>
          <w:lang w:eastAsia="zh-CN"/>
        </w:rPr>
      </w:pPr>
      <w:r>
        <w:rPr>
          <w:rFonts w:hint="eastAsia"/>
          <w:bCs/>
          <w:sz w:val="24"/>
          <w:highlight w:val="white"/>
          <w:lang w:eastAsia="zh-CN"/>
        </w:rPr>
        <w:t>如本基金投资股票市场交易互联互通机制允许买卖的境外证券市场上市的股票，涉及相关货币对人民币汇率的，汇率来源详见招募说明书。</w:t>
      </w:r>
    </w:p>
    <w:p w:rsidR="00CB176C">
      <w:pPr>
        <w:spacing w:line="360" w:lineRule="auto"/>
        <w:ind w:firstLine="480" w:firstLineChars="200"/>
        <w:rPr>
          <w:bCs/>
          <w:sz w:val="24"/>
          <w:lang w:eastAsia="zh-CN"/>
        </w:rPr>
      </w:pPr>
      <w:r>
        <w:rPr>
          <w:rFonts w:ascii="宋体" w:hAnsi="宋体" w:cs="宋体" w:hint="eastAsia"/>
          <w:bCs/>
          <w:sz w:val="24"/>
          <w:lang w:eastAsia="zh-CN"/>
        </w:rPr>
        <w:t>（</w:t>
      </w:r>
      <w:r>
        <w:rPr>
          <w:rFonts w:ascii="宋体" w:hAnsi="宋体" w:cs="宋体" w:hint="eastAsia"/>
          <w:bCs/>
          <w:sz w:val="24"/>
          <w:highlight w:val="white"/>
          <w:lang w:eastAsia="zh-CN"/>
        </w:rPr>
        <w:t>12</w:t>
      </w:r>
      <w:r>
        <w:rPr>
          <w:rFonts w:ascii="宋体" w:hAnsi="宋体" w:cs="宋体" w:hint="eastAsia"/>
          <w:bCs/>
          <w:sz w:val="24"/>
          <w:highlight w:val="white"/>
          <w:lang w:eastAsia="zh-CN"/>
        </w:rPr>
        <w:t>）税收</w:t>
      </w:r>
    </w:p>
    <w:p w:rsidR="00CB176C">
      <w:pPr>
        <w:spacing w:line="360" w:lineRule="auto"/>
        <w:ind w:firstLine="480" w:firstLineChars="200"/>
        <w:rPr>
          <w:bCs/>
          <w:sz w:val="24"/>
          <w:lang w:eastAsia="zh-CN"/>
        </w:rPr>
      </w:pPr>
      <w:r>
        <w:rPr>
          <w:rFonts w:hint="eastAsia"/>
          <w:bCs/>
          <w:sz w:val="24"/>
          <w:highlight w:val="white"/>
          <w:lang w:eastAsia="zh-CN"/>
        </w:rPr>
        <w:t>对于按照中国法律法规和基金投资股票市场交易互联互通机制涉及的境外交易场所所在地的法律法规规定应交纳的各项税金，本基金将按权责发生制原则进行估值；对于因税收规定调整或其他原因导致基金实际</w:t>
      </w:r>
      <w:r>
        <w:rPr>
          <w:rFonts w:hint="eastAsia"/>
          <w:bCs/>
          <w:sz w:val="24"/>
          <w:highlight w:val="white"/>
          <w:lang w:eastAsia="zh-CN"/>
        </w:rPr>
        <w:t>交纳税金与估算的应交税金有差异的，基金将在相关税金调整日或实际支付日进行相应的估值调整。</w:t>
      </w:r>
    </w:p>
    <w:p w:rsidR="00CB176C">
      <w:pPr>
        <w:spacing w:line="360" w:lineRule="auto"/>
        <w:ind w:firstLine="480" w:firstLineChars="200"/>
        <w:rPr>
          <w:bCs/>
          <w:sz w:val="24"/>
          <w:lang w:eastAsia="zh-CN"/>
        </w:rPr>
      </w:pPr>
      <w:r>
        <w:rPr>
          <w:rFonts w:ascii="宋体" w:hAnsi="宋体" w:cs="宋体" w:hint="eastAsia"/>
          <w:bCs/>
          <w:sz w:val="24"/>
          <w:lang w:eastAsia="zh-CN"/>
        </w:rPr>
        <w:t>（</w:t>
      </w:r>
      <w:r>
        <w:rPr>
          <w:rFonts w:ascii="宋体" w:hAnsi="宋体" w:cs="宋体" w:hint="eastAsia"/>
          <w:bCs/>
          <w:sz w:val="24"/>
          <w:highlight w:val="white"/>
          <w:lang w:eastAsia="zh-CN"/>
        </w:rPr>
        <w:t>13</w:t>
      </w:r>
      <w:r>
        <w:rPr>
          <w:rFonts w:ascii="宋体" w:hAnsi="宋体" w:cs="宋体" w:hint="eastAsia"/>
          <w:bCs/>
          <w:sz w:val="24"/>
          <w:highlight w:val="white"/>
          <w:lang w:eastAsia="zh-CN"/>
        </w:rPr>
        <w:t>）如有充分理由表明按上述方法进行估值不能客观反映其公允价值的，基金管理人可根据具体情况与基金托管人商定后，按最能反映公允价值的价格估值。</w:t>
      </w:r>
    </w:p>
    <w:p w:rsidR="00CB176C">
      <w:pPr>
        <w:spacing w:line="360" w:lineRule="auto"/>
        <w:ind w:firstLine="480" w:firstLineChars="200"/>
        <w:rPr>
          <w:bCs/>
          <w:sz w:val="24"/>
          <w:lang w:eastAsia="zh-CN"/>
        </w:rPr>
      </w:pPr>
      <w:r>
        <w:rPr>
          <w:rFonts w:ascii="宋体" w:hAnsi="宋体" w:cs="宋体" w:hint="eastAsia"/>
          <w:bCs/>
          <w:sz w:val="24"/>
          <w:lang w:eastAsia="zh-CN"/>
        </w:rPr>
        <w:t>（</w:t>
      </w:r>
      <w:r>
        <w:rPr>
          <w:rFonts w:ascii="宋体" w:hAnsi="宋体" w:cs="宋体" w:hint="eastAsia"/>
          <w:bCs/>
          <w:sz w:val="24"/>
          <w:highlight w:val="white"/>
          <w:lang w:eastAsia="zh-CN"/>
        </w:rPr>
        <w:t>14</w:t>
      </w:r>
      <w:r>
        <w:rPr>
          <w:rFonts w:ascii="宋体" w:hAnsi="宋体" w:cs="宋体" w:hint="eastAsia"/>
          <w:bCs/>
          <w:sz w:val="24"/>
          <w:highlight w:val="white"/>
          <w:lang w:eastAsia="zh-CN"/>
        </w:rPr>
        <w:t>）当发生大额申购或赎回情形时，基金管理人可以采用摆动定价机制，以确保基金估值的公平性。</w:t>
      </w:r>
    </w:p>
    <w:p w:rsidR="00CB176C">
      <w:pPr>
        <w:spacing w:line="360" w:lineRule="auto"/>
        <w:ind w:firstLine="480" w:firstLineChars="200"/>
        <w:rPr>
          <w:bCs/>
          <w:sz w:val="24"/>
          <w:lang w:eastAsia="zh-CN"/>
        </w:rPr>
      </w:pPr>
      <w:r>
        <w:rPr>
          <w:rFonts w:ascii="宋体" w:hAnsi="宋体" w:cs="宋体" w:hint="eastAsia"/>
          <w:bCs/>
          <w:sz w:val="24"/>
          <w:lang w:eastAsia="zh-CN"/>
        </w:rPr>
        <w:t>（</w:t>
      </w:r>
      <w:r>
        <w:rPr>
          <w:rFonts w:ascii="宋体" w:hAnsi="宋体" w:cs="宋体" w:hint="eastAsia"/>
          <w:bCs/>
          <w:sz w:val="24"/>
          <w:highlight w:val="white"/>
          <w:lang w:eastAsia="zh-CN"/>
        </w:rPr>
        <w:t>15</w:t>
      </w:r>
      <w:r>
        <w:rPr>
          <w:rFonts w:ascii="宋体" w:hAnsi="宋体" w:cs="宋体" w:hint="eastAsia"/>
          <w:bCs/>
          <w:sz w:val="24"/>
          <w:highlight w:val="white"/>
          <w:lang w:eastAsia="zh-CN"/>
        </w:rPr>
        <w:t>）相关法律法规以及监管部门有强制规定的，从其规定。如有新增事项，按国家最新规定估值。</w:t>
      </w:r>
    </w:p>
    <w:p w:rsidR="00CB176C">
      <w:pPr>
        <w:spacing w:line="360" w:lineRule="auto"/>
        <w:ind w:firstLine="480" w:firstLineChars="200"/>
        <w:rPr>
          <w:bCs/>
          <w:sz w:val="24"/>
          <w:lang w:eastAsia="zh-CN"/>
        </w:rPr>
      </w:pPr>
      <w:r>
        <w:rPr>
          <w:rFonts w:hint="eastAsia"/>
          <w:bCs/>
          <w:sz w:val="24"/>
          <w:highlight w:val="white"/>
          <w:lang w:eastAsia="zh-CN"/>
        </w:rPr>
        <w:t>如基金管理人或基金托管人发现基金估值违反基金合同订明的估值方法、程序及相关法律法规的规定或者未能充分维护基金份额持有人利益时，应立即通知对方，共同查明原因，双方协商解决。</w:t>
      </w:r>
    </w:p>
    <w:p w:rsidR="00CB176C">
      <w:pPr>
        <w:spacing w:line="360" w:lineRule="auto"/>
        <w:ind w:firstLine="480" w:firstLineChars="200"/>
        <w:rPr>
          <w:bCs/>
          <w:sz w:val="24"/>
          <w:lang w:eastAsia="zh-CN"/>
        </w:rPr>
      </w:pPr>
      <w:r>
        <w:rPr>
          <w:rFonts w:hint="eastAsia"/>
          <w:bCs/>
          <w:sz w:val="24"/>
          <w:highlight w:val="white"/>
          <w:lang w:eastAsia="zh-CN"/>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CB176C">
      <w:pPr>
        <w:snapToGrid w:val="0"/>
        <w:spacing w:after="156" w:afterLines="50" w:line="288" w:lineRule="auto"/>
        <w:ind w:firstLine="480"/>
        <w:rPr>
          <w:rStyle w:val="read"/>
          <w:rFonts w:ascii="宋体" w:hAnsi="宋体" w:cs="Arial"/>
          <w:sz w:val="24"/>
          <w:lang w:eastAsia="zh-CN"/>
        </w:rPr>
      </w:pPr>
      <w:r>
        <w:rPr>
          <w:rStyle w:val="read"/>
          <w:rFonts w:ascii="宋体" w:hAnsi="宋体" w:cs="Arial"/>
          <w:sz w:val="24"/>
          <w:highlight w:val="white"/>
          <w:lang w:eastAsia="zh-CN"/>
        </w:rPr>
        <w:t>4</w:t>
      </w:r>
      <w:r>
        <w:rPr>
          <w:rStyle w:val="read"/>
          <w:rFonts w:ascii="宋体" w:hAnsi="宋体" w:cs="Arial" w:hint="eastAsia"/>
          <w:sz w:val="24"/>
          <w:highlight w:val="white"/>
          <w:lang w:eastAsia="zh-CN"/>
        </w:rPr>
        <w:t>.</w:t>
      </w:r>
      <w:r>
        <w:rPr>
          <w:rStyle w:val="read"/>
          <w:rFonts w:ascii="宋体" w:hAnsi="宋体" w:cs="Arial" w:hint="eastAsia"/>
          <w:sz w:val="24"/>
          <w:highlight w:val="white"/>
          <w:lang w:eastAsia="zh-CN"/>
        </w:rPr>
        <w:t>特殊情形的处理</w:t>
      </w:r>
    </w:p>
    <w:p w:rsidR="00CB176C">
      <w:pPr>
        <w:snapToGrid w:val="0"/>
        <w:spacing w:after="156" w:afterLines="50" w:line="288" w:lineRule="auto"/>
        <w:ind w:firstLine="480" w:firstLineChars="200"/>
        <w:rPr>
          <w:rStyle w:val="read"/>
          <w:rFonts w:ascii="宋体" w:hAnsi="宋体"/>
          <w:sz w:val="24"/>
          <w:lang w:eastAsia="zh-CN"/>
        </w:rPr>
      </w:pPr>
      <w:bookmarkStart w:id="116" w:name="_Hlk79098306"/>
      <w:r>
        <w:rPr>
          <w:rStyle w:val="read"/>
          <w:rFonts w:ascii="宋体" w:hAnsi="宋体" w:cs="Arial" w:hint="eastAsia"/>
          <w:sz w:val="24"/>
          <w:highlight w:val="white"/>
          <w:lang w:eastAsia="zh-CN"/>
        </w:rPr>
        <w:t>（</w:t>
      </w:r>
      <w:r>
        <w:rPr>
          <w:rStyle w:val="read"/>
          <w:rFonts w:ascii="宋体" w:hAnsi="宋体" w:cs="Arial" w:hint="eastAsia"/>
          <w:sz w:val="24"/>
          <w:highlight w:val="white"/>
          <w:lang w:eastAsia="zh-CN"/>
        </w:rPr>
        <w:t>1</w:t>
      </w:r>
      <w:r>
        <w:rPr>
          <w:rStyle w:val="read"/>
          <w:rFonts w:ascii="宋体" w:hAnsi="宋体" w:cs="Arial" w:hint="eastAsia"/>
          <w:sz w:val="24"/>
          <w:highlight w:val="white"/>
          <w:lang w:eastAsia="zh-CN"/>
        </w:rPr>
        <w:t>）基金管理人、基金托管人按估值方法的第</w:t>
      </w:r>
      <w:r>
        <w:rPr>
          <w:rStyle w:val="read"/>
          <w:rFonts w:ascii="宋体" w:hAnsi="宋体" w:cs="Arial" w:hint="eastAsia"/>
          <w:sz w:val="24"/>
          <w:highlight w:val="white"/>
          <w:lang w:eastAsia="zh-CN"/>
        </w:rPr>
        <w:t>(</w:t>
      </w:r>
      <w:r>
        <w:rPr>
          <w:rStyle w:val="read"/>
          <w:rFonts w:ascii="宋体" w:hAnsi="宋体" w:cs="Arial"/>
          <w:sz w:val="24"/>
          <w:highlight w:val="white"/>
          <w:lang w:eastAsia="zh-CN"/>
        </w:rPr>
        <w:t>13</w:t>
      </w:r>
      <w:r>
        <w:rPr>
          <w:rStyle w:val="read"/>
          <w:rFonts w:ascii="宋体" w:hAnsi="宋体" w:cs="Arial" w:hint="eastAsia"/>
          <w:sz w:val="24"/>
          <w:highlight w:val="white"/>
          <w:lang w:eastAsia="zh-CN"/>
        </w:rPr>
        <w:t>)</w:t>
      </w:r>
      <w:r>
        <w:rPr>
          <w:rStyle w:val="read"/>
          <w:rFonts w:ascii="宋体" w:hAnsi="宋体" w:cs="Arial" w:hint="eastAsia"/>
          <w:sz w:val="24"/>
          <w:highlight w:val="white"/>
          <w:lang w:eastAsia="zh-CN"/>
        </w:rPr>
        <w:t>项进行估值时</w:t>
      </w:r>
      <w:r>
        <w:rPr>
          <w:rStyle w:val="read"/>
          <w:rFonts w:ascii="宋体" w:hAnsi="宋体" w:cs="Arial" w:hint="eastAsia"/>
          <w:sz w:val="24"/>
          <w:highlight w:val="white"/>
          <w:lang w:eastAsia="zh-CN"/>
        </w:rPr>
        <w:t>，所造成的误差不作为基金资产估</w:t>
      </w:r>
      <w:r>
        <w:rPr>
          <w:rStyle w:val="read"/>
          <w:rFonts w:ascii="宋体" w:hAnsi="宋体" w:hint="eastAsia"/>
          <w:sz w:val="24"/>
          <w:highlight w:val="white"/>
          <w:lang w:eastAsia="zh-CN"/>
        </w:rPr>
        <w:t>值错误处理。</w:t>
      </w:r>
    </w:p>
    <w:p w:rsidR="00CB176C">
      <w:pPr>
        <w:snapToGrid w:val="0"/>
        <w:spacing w:after="156" w:afterLines="50" w:line="288" w:lineRule="auto"/>
        <w:ind w:firstLine="480" w:firstLineChars="200"/>
        <w:rPr>
          <w:rFonts w:ascii="宋体" w:hAnsi="宋体"/>
          <w:bCs/>
          <w:sz w:val="24"/>
          <w:lang w:eastAsia="zh-CN"/>
        </w:rPr>
      </w:pPr>
      <w:r>
        <w:rPr>
          <w:rFonts w:ascii="宋体" w:hAnsi="宋体" w:hint="eastAsia"/>
          <w:bCs/>
          <w:sz w:val="24"/>
          <w:highlight w:val="white"/>
          <w:lang w:eastAsia="zh-CN"/>
        </w:rPr>
        <w:t>（</w:t>
      </w:r>
      <w:r>
        <w:rPr>
          <w:rFonts w:ascii="宋体" w:hAnsi="宋体" w:hint="eastAsia"/>
          <w:bCs/>
          <w:sz w:val="24"/>
          <w:highlight w:val="white"/>
          <w:lang w:eastAsia="zh-CN"/>
        </w:rPr>
        <w:t>2</w:t>
      </w:r>
      <w:r>
        <w:rPr>
          <w:rFonts w:ascii="宋体" w:hAnsi="宋体" w:hint="eastAsia"/>
          <w:bCs/>
          <w:sz w:val="24"/>
          <w:highlight w:val="white"/>
          <w:lang w:eastAsia="zh-CN"/>
        </w:rPr>
        <w:t>）由于不可抗力，或证券交易所、登记结算机构及存款银行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bookmarkEnd w:id="116"/>
    </w:p>
    <w:p w:rsidR="00CB176C">
      <w:pPr>
        <w:snapToGrid w:val="0"/>
        <w:spacing w:after="156" w:afterLines="50" w:line="288" w:lineRule="auto"/>
        <w:ind w:firstLine="480" w:firstLineChars="200"/>
        <w:rPr>
          <w:rStyle w:val="read"/>
          <w:rFonts w:ascii="宋体" w:hAnsi="宋体"/>
          <w:sz w:val="24"/>
          <w:lang w:eastAsia="zh-CN"/>
        </w:rPr>
      </w:pPr>
      <w:r>
        <w:rPr>
          <w:rStyle w:val="read"/>
          <w:rFonts w:ascii="宋体" w:hAnsi="宋体" w:hint="eastAsia"/>
          <w:sz w:val="24"/>
          <w:highlight w:val="white"/>
          <w:lang w:eastAsia="zh-CN"/>
        </w:rPr>
        <w:t>（三）基金份额净值错误的处理方式</w:t>
      </w:r>
    </w:p>
    <w:p w:rsidR="00CB176C">
      <w:pPr>
        <w:snapToGrid w:val="0"/>
        <w:spacing w:after="156" w:afterLines="50" w:line="288" w:lineRule="auto"/>
        <w:ind w:firstLine="480" w:firstLineChars="200"/>
        <w:rPr>
          <w:rStyle w:val="read"/>
          <w:rFonts w:ascii="宋体" w:hAnsi="宋体"/>
          <w:sz w:val="24"/>
          <w:lang w:eastAsia="zh-CN"/>
        </w:rPr>
      </w:pPr>
      <w:r>
        <w:rPr>
          <w:rStyle w:val="read"/>
          <w:rFonts w:ascii="宋体" w:hAnsi="宋体" w:hint="eastAsia"/>
          <w:sz w:val="24"/>
          <w:highlight w:val="white"/>
          <w:lang w:eastAsia="zh-CN"/>
        </w:rPr>
        <w:t>基金管理人和基金托管人将采取必要、适当、合理的措施确保基金资产估</w:t>
      </w:r>
      <w:r>
        <w:rPr>
          <w:rStyle w:val="read"/>
          <w:rFonts w:ascii="宋体" w:hAnsi="宋体" w:hint="eastAsia"/>
          <w:sz w:val="24"/>
          <w:highlight w:val="white"/>
          <w:lang w:eastAsia="zh-CN"/>
        </w:rPr>
        <w:t>值的准确性、及时性。当基金份额净值小数点后</w:t>
      </w:r>
      <w:r>
        <w:rPr>
          <w:rStyle w:val="read"/>
          <w:rFonts w:ascii="宋体" w:hAnsi="宋体" w:hint="eastAsia"/>
          <w:sz w:val="24"/>
          <w:highlight w:val="white"/>
          <w:lang w:eastAsia="zh-CN"/>
        </w:rPr>
        <w:t>4</w:t>
      </w:r>
      <w:r>
        <w:rPr>
          <w:rStyle w:val="read"/>
          <w:rFonts w:ascii="宋体" w:hAnsi="宋体" w:hint="eastAsia"/>
          <w:sz w:val="24"/>
          <w:highlight w:val="white"/>
          <w:lang w:eastAsia="zh-CN"/>
        </w:rPr>
        <w:t>位以内（含第</w:t>
      </w:r>
      <w:r>
        <w:rPr>
          <w:rStyle w:val="read"/>
          <w:rFonts w:ascii="宋体" w:hAnsi="宋体" w:hint="eastAsia"/>
          <w:sz w:val="24"/>
          <w:highlight w:val="white"/>
          <w:lang w:eastAsia="zh-CN"/>
        </w:rPr>
        <w:t xml:space="preserve">4 </w:t>
      </w:r>
      <w:r>
        <w:rPr>
          <w:rStyle w:val="read"/>
          <w:rFonts w:ascii="宋体" w:hAnsi="宋体" w:hint="eastAsia"/>
          <w:sz w:val="24"/>
          <w:highlight w:val="white"/>
          <w:lang w:eastAsia="zh-CN"/>
        </w:rPr>
        <w:t>位）发生估值错误时，视为基金份额净值错误。</w:t>
      </w:r>
    </w:p>
    <w:p w:rsidR="00CB176C">
      <w:pPr>
        <w:snapToGrid w:val="0"/>
        <w:spacing w:after="156" w:afterLines="50" w:line="288" w:lineRule="auto"/>
        <w:ind w:firstLine="480" w:firstLineChars="200"/>
        <w:rPr>
          <w:rStyle w:val="read"/>
          <w:rFonts w:ascii="宋体" w:hAnsi="宋体"/>
          <w:sz w:val="24"/>
          <w:lang w:eastAsia="zh-CN"/>
        </w:rPr>
      </w:pPr>
      <w:r>
        <w:rPr>
          <w:rStyle w:val="read"/>
          <w:rFonts w:ascii="宋体" w:hAnsi="宋体" w:hint="eastAsia"/>
          <w:sz w:val="24"/>
          <w:highlight w:val="white"/>
          <w:lang w:eastAsia="zh-CN"/>
        </w:rPr>
        <w:t>基金合同的当事人应按照以下约定处理：</w:t>
      </w:r>
    </w:p>
    <w:p w:rsidR="00CB176C">
      <w:pPr>
        <w:snapToGrid w:val="0"/>
        <w:spacing w:after="156" w:afterLines="50" w:line="288" w:lineRule="auto"/>
        <w:ind w:firstLine="480" w:firstLineChars="200"/>
        <w:rPr>
          <w:rStyle w:val="read"/>
          <w:rFonts w:ascii="宋体" w:hAnsi="宋体"/>
          <w:sz w:val="24"/>
          <w:lang w:eastAsia="zh-CN"/>
        </w:rPr>
      </w:pPr>
      <w:r>
        <w:rPr>
          <w:rStyle w:val="read"/>
          <w:rFonts w:ascii="宋体" w:hAnsi="宋体" w:hint="eastAsia"/>
          <w:sz w:val="24"/>
          <w:highlight w:val="white"/>
          <w:lang w:eastAsia="zh-CN"/>
        </w:rPr>
        <w:t>1.</w:t>
      </w:r>
      <w:r>
        <w:rPr>
          <w:rStyle w:val="read"/>
          <w:rFonts w:ascii="宋体" w:hAnsi="宋体" w:hint="eastAsia"/>
          <w:sz w:val="24"/>
          <w:highlight w:val="white"/>
          <w:lang w:eastAsia="zh-CN"/>
        </w:rPr>
        <w:t>估值错误类型</w:t>
      </w:r>
    </w:p>
    <w:p w:rsidR="00CB176C">
      <w:pPr>
        <w:snapToGrid w:val="0"/>
        <w:spacing w:after="156" w:afterLines="50" w:line="288" w:lineRule="auto"/>
        <w:ind w:firstLine="480" w:firstLineChars="200"/>
        <w:rPr>
          <w:rStyle w:val="read"/>
          <w:rFonts w:ascii="宋体" w:hAnsi="宋体"/>
          <w:sz w:val="24"/>
          <w:lang w:eastAsia="zh-CN"/>
        </w:rPr>
      </w:pPr>
      <w:r>
        <w:rPr>
          <w:rStyle w:val="read"/>
          <w:rFonts w:ascii="宋体" w:hAnsi="宋体" w:hint="eastAsia"/>
          <w:sz w:val="24"/>
          <w:highlight w:val="white"/>
          <w:lang w:eastAsia="zh-CN"/>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CB176C">
      <w:pPr>
        <w:snapToGrid w:val="0"/>
        <w:spacing w:after="156" w:afterLines="50" w:line="288" w:lineRule="auto"/>
        <w:ind w:firstLine="480" w:firstLineChars="200"/>
        <w:rPr>
          <w:rStyle w:val="read"/>
          <w:rFonts w:ascii="宋体" w:hAnsi="宋体"/>
          <w:sz w:val="24"/>
          <w:lang w:eastAsia="zh-CN"/>
        </w:rPr>
      </w:pPr>
      <w:r>
        <w:rPr>
          <w:rStyle w:val="read"/>
          <w:rFonts w:ascii="宋体" w:hAnsi="宋体" w:hint="eastAsia"/>
          <w:sz w:val="24"/>
          <w:highlight w:val="white"/>
          <w:lang w:eastAsia="zh-CN"/>
        </w:rPr>
        <w:t>上述估值错误的主要类型包括但不限于：资料申报差错、数据传输差错、数据计算差错、系统故障差错、下达指令差错等。</w:t>
      </w:r>
    </w:p>
    <w:p w:rsidR="00CB176C">
      <w:pPr>
        <w:snapToGrid w:val="0"/>
        <w:spacing w:after="156" w:afterLines="50" w:line="288" w:lineRule="auto"/>
        <w:ind w:firstLine="480" w:firstLineChars="200"/>
        <w:rPr>
          <w:rStyle w:val="read"/>
          <w:rFonts w:ascii="宋体" w:hAnsi="宋体"/>
          <w:sz w:val="24"/>
          <w:lang w:eastAsia="zh-CN"/>
        </w:rPr>
      </w:pPr>
      <w:r>
        <w:rPr>
          <w:rStyle w:val="read"/>
          <w:rFonts w:ascii="宋体" w:hAnsi="宋体" w:hint="eastAsia"/>
          <w:sz w:val="24"/>
          <w:highlight w:val="white"/>
          <w:lang w:eastAsia="zh-CN"/>
        </w:rPr>
        <w:t>2.</w:t>
      </w:r>
      <w:r>
        <w:rPr>
          <w:rStyle w:val="read"/>
          <w:rFonts w:ascii="宋体" w:hAnsi="宋体" w:hint="eastAsia"/>
          <w:sz w:val="24"/>
          <w:highlight w:val="white"/>
          <w:lang w:eastAsia="zh-CN"/>
        </w:rPr>
        <w:t>估值错误处理原则</w:t>
      </w:r>
    </w:p>
    <w:p w:rsidR="00CB176C">
      <w:pPr>
        <w:spacing w:after="156" w:line="288" w:lineRule="auto"/>
        <w:ind w:firstLine="480" w:firstLineChars="200"/>
        <w:rPr>
          <w:rStyle w:val="read"/>
          <w:rFonts w:ascii="宋体" w:hAnsi="宋体"/>
          <w:sz w:val="24"/>
          <w:highlight w:val="magenta"/>
          <w:lang w:eastAsia="zh-CN"/>
        </w:rPr>
      </w:pPr>
      <w:r>
        <w:rPr>
          <w:rStyle w:val="read"/>
          <w:rFonts w:ascii="宋体" w:hAnsi="宋体" w:hint="eastAsia"/>
          <w:sz w:val="24"/>
          <w:highlight w:val="white"/>
          <w:lang w:eastAsia="zh-CN"/>
        </w:rPr>
        <w:t>（</w:t>
      </w:r>
      <w:r>
        <w:rPr>
          <w:rStyle w:val="read"/>
          <w:rFonts w:ascii="宋体" w:hAnsi="宋体" w:hint="eastAsia"/>
          <w:sz w:val="24"/>
          <w:highlight w:val="white"/>
          <w:lang w:eastAsia="zh-CN"/>
        </w:rPr>
        <w:t>1</w:t>
      </w:r>
      <w:r>
        <w:rPr>
          <w:rStyle w:val="read"/>
          <w:rFonts w:ascii="宋体" w:hAnsi="宋体" w:hint="eastAsia"/>
          <w:sz w:val="24"/>
          <w:highlight w:val="white"/>
          <w:lang w:eastAsia="zh-CN"/>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在共同过错造成估值错误的情况</w:t>
      </w:r>
      <w:r>
        <w:rPr>
          <w:rStyle w:val="read"/>
          <w:rFonts w:ascii="宋体" w:hAnsi="宋体" w:hint="eastAsia"/>
          <w:sz w:val="24"/>
          <w:highlight w:val="white"/>
          <w:lang w:eastAsia="zh-CN"/>
        </w:rPr>
        <w:t>下，过错方根据其过错程度承担责任。估值错误责任方应对更正的情况向有关当事人进行确认，确保估值错误已得到更正。</w:t>
      </w:r>
    </w:p>
    <w:p w:rsidR="00CB176C">
      <w:pPr>
        <w:spacing w:after="156" w:line="288" w:lineRule="auto"/>
        <w:ind w:firstLine="480" w:firstLineChars="200"/>
        <w:rPr>
          <w:rStyle w:val="read"/>
          <w:rFonts w:ascii="宋体" w:hAnsi="宋体"/>
          <w:sz w:val="24"/>
          <w:highlight w:val="magenta"/>
          <w:lang w:eastAsia="zh-CN"/>
        </w:rPr>
      </w:pPr>
      <w:r>
        <w:rPr>
          <w:rStyle w:val="read"/>
          <w:rFonts w:ascii="宋体" w:hAnsi="宋体" w:hint="eastAsia"/>
          <w:sz w:val="24"/>
          <w:highlight w:val="white"/>
          <w:lang w:eastAsia="zh-CN"/>
        </w:rPr>
        <w:t>（</w:t>
      </w:r>
      <w:r>
        <w:rPr>
          <w:rStyle w:val="read"/>
          <w:rFonts w:ascii="宋体" w:hAnsi="宋体" w:hint="eastAsia"/>
          <w:sz w:val="24"/>
          <w:highlight w:val="white"/>
          <w:lang w:eastAsia="zh-CN"/>
        </w:rPr>
        <w:t>2</w:t>
      </w:r>
      <w:r>
        <w:rPr>
          <w:rStyle w:val="read"/>
          <w:rFonts w:ascii="宋体" w:hAnsi="宋体" w:hint="eastAsia"/>
          <w:sz w:val="24"/>
          <w:highlight w:val="white"/>
          <w:lang w:eastAsia="zh-CN"/>
        </w:rPr>
        <w:t>）估值错误的责任方对有关当事人的直接损失负责，不对间接损失负责，并且仅对估值错误的有关直接当事人负责，不对第三方负责。</w:t>
      </w:r>
    </w:p>
    <w:p w:rsidR="00CB176C">
      <w:pPr>
        <w:spacing w:after="156" w:line="288" w:lineRule="auto"/>
        <w:ind w:firstLine="480" w:firstLineChars="200"/>
        <w:rPr>
          <w:rStyle w:val="read"/>
          <w:rFonts w:ascii="宋体" w:hAnsi="宋体"/>
          <w:sz w:val="24"/>
          <w:highlight w:val="magenta"/>
          <w:lang w:eastAsia="zh-CN"/>
        </w:rPr>
      </w:pPr>
      <w:r>
        <w:rPr>
          <w:rStyle w:val="read"/>
          <w:rFonts w:ascii="宋体" w:hAnsi="宋体" w:hint="eastAsia"/>
          <w:sz w:val="24"/>
          <w:highlight w:val="white"/>
          <w:lang w:eastAsia="zh-CN"/>
        </w:rPr>
        <w:t>（</w:t>
      </w:r>
      <w:r>
        <w:rPr>
          <w:rStyle w:val="read"/>
          <w:rFonts w:ascii="宋体" w:hAnsi="宋体" w:hint="eastAsia"/>
          <w:sz w:val="24"/>
          <w:highlight w:val="white"/>
          <w:lang w:eastAsia="zh-CN"/>
        </w:rPr>
        <w:t>3</w:t>
      </w:r>
      <w:r>
        <w:rPr>
          <w:rStyle w:val="read"/>
          <w:rFonts w:ascii="宋体" w:hAnsi="宋体" w:hint="eastAsia"/>
          <w:sz w:val="24"/>
          <w:highlight w:val="white"/>
          <w:lang w:eastAsia="zh-CN"/>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w:t>
      </w:r>
      <w:r>
        <w:rPr>
          <w:rStyle w:val="read"/>
          <w:rFonts w:ascii="宋体" w:hAnsi="宋体" w:hint="eastAsia"/>
          <w:sz w:val="24"/>
          <w:highlight w:val="white"/>
          <w:lang w:eastAsia="zh-CN"/>
        </w:rPr>
        <w:t>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CB176C">
      <w:pPr>
        <w:spacing w:after="156" w:line="288" w:lineRule="auto"/>
        <w:ind w:firstLine="480" w:firstLineChars="200"/>
        <w:rPr>
          <w:rStyle w:val="read"/>
          <w:rFonts w:ascii="宋体" w:hAnsi="宋体"/>
          <w:sz w:val="24"/>
          <w:highlight w:val="magenta"/>
          <w:lang w:eastAsia="zh-CN"/>
        </w:rPr>
      </w:pPr>
      <w:r>
        <w:rPr>
          <w:rStyle w:val="read"/>
          <w:rFonts w:ascii="宋体" w:hAnsi="宋体" w:hint="eastAsia"/>
          <w:sz w:val="24"/>
          <w:highlight w:val="white"/>
          <w:lang w:eastAsia="zh-CN"/>
        </w:rPr>
        <w:t>（</w:t>
      </w:r>
      <w:r>
        <w:rPr>
          <w:rStyle w:val="read"/>
          <w:rFonts w:ascii="宋体" w:hAnsi="宋体" w:hint="eastAsia"/>
          <w:sz w:val="24"/>
          <w:highlight w:val="white"/>
          <w:lang w:eastAsia="zh-CN"/>
        </w:rPr>
        <w:t>4</w:t>
      </w:r>
      <w:r>
        <w:rPr>
          <w:rStyle w:val="read"/>
          <w:rFonts w:ascii="宋体" w:hAnsi="宋体" w:hint="eastAsia"/>
          <w:sz w:val="24"/>
          <w:highlight w:val="white"/>
          <w:lang w:eastAsia="zh-CN"/>
        </w:rPr>
        <w:t>）估值错误调整采用尽量恢复至假设未发生估值错误的正确情形的方式。</w:t>
      </w:r>
    </w:p>
    <w:p w:rsidR="00CB176C">
      <w:pPr>
        <w:spacing w:after="156" w:line="288" w:lineRule="auto"/>
        <w:ind w:firstLine="480" w:firstLineChars="200"/>
        <w:rPr>
          <w:rStyle w:val="read"/>
          <w:rFonts w:ascii="宋体" w:hAnsi="宋体"/>
          <w:sz w:val="24"/>
          <w:highlight w:val="magenta"/>
          <w:lang w:eastAsia="zh-CN"/>
        </w:rPr>
      </w:pPr>
      <w:r>
        <w:rPr>
          <w:rStyle w:val="read"/>
          <w:rFonts w:ascii="宋体" w:hAnsi="宋体" w:hint="eastAsia"/>
          <w:sz w:val="24"/>
          <w:highlight w:val="white"/>
          <w:lang w:eastAsia="zh-CN"/>
        </w:rPr>
        <w:t>（</w:t>
      </w:r>
      <w:r>
        <w:rPr>
          <w:rStyle w:val="read"/>
          <w:rFonts w:ascii="宋体" w:hAnsi="宋体" w:hint="eastAsia"/>
          <w:sz w:val="24"/>
          <w:highlight w:val="white"/>
          <w:lang w:eastAsia="zh-CN"/>
        </w:rPr>
        <w:t>5</w:t>
      </w:r>
      <w:r>
        <w:rPr>
          <w:rStyle w:val="read"/>
          <w:rFonts w:ascii="宋体" w:hAnsi="宋体" w:hint="eastAsia"/>
          <w:sz w:val="24"/>
          <w:highlight w:val="white"/>
          <w:lang w:eastAsia="zh-CN"/>
        </w:rPr>
        <w:t>）与本基金有关的会计问题，如经双方在平等基础上充分讨论后，尚不能达成一致时，按基金管理人的建议执行，由此造成的损失，由基金管理人承担。</w:t>
      </w:r>
    </w:p>
    <w:p w:rsidR="00CB176C">
      <w:pPr>
        <w:snapToGrid w:val="0"/>
        <w:spacing w:after="156" w:afterLines="50" w:line="288" w:lineRule="auto"/>
        <w:ind w:firstLine="480" w:firstLineChars="200"/>
        <w:rPr>
          <w:rStyle w:val="read"/>
          <w:rFonts w:ascii="宋体" w:hAnsi="宋体"/>
          <w:sz w:val="24"/>
          <w:lang w:eastAsia="zh-CN"/>
        </w:rPr>
      </w:pPr>
      <w:r>
        <w:rPr>
          <w:rStyle w:val="read"/>
          <w:rFonts w:ascii="宋体" w:hAnsi="宋体" w:hint="eastAsia"/>
          <w:sz w:val="24"/>
          <w:highlight w:val="white"/>
          <w:lang w:eastAsia="zh-CN"/>
        </w:rPr>
        <w:t>3.</w:t>
      </w:r>
      <w:r>
        <w:rPr>
          <w:rStyle w:val="read"/>
          <w:rFonts w:ascii="宋体" w:hAnsi="宋体" w:hint="eastAsia"/>
          <w:sz w:val="24"/>
          <w:highlight w:val="white"/>
          <w:lang w:eastAsia="zh-CN"/>
        </w:rPr>
        <w:t>估值错误处理程序</w:t>
      </w:r>
    </w:p>
    <w:p w:rsidR="00CB176C">
      <w:pPr>
        <w:snapToGrid w:val="0"/>
        <w:spacing w:after="156" w:afterLines="50" w:line="288" w:lineRule="auto"/>
        <w:ind w:firstLine="480" w:firstLineChars="200"/>
        <w:rPr>
          <w:rStyle w:val="read"/>
          <w:rFonts w:ascii="宋体" w:hAnsi="宋体"/>
          <w:sz w:val="24"/>
          <w:lang w:eastAsia="zh-CN"/>
        </w:rPr>
      </w:pPr>
      <w:r>
        <w:rPr>
          <w:rStyle w:val="read"/>
          <w:rFonts w:ascii="宋体" w:hAnsi="宋体" w:hint="eastAsia"/>
          <w:sz w:val="24"/>
          <w:highlight w:val="white"/>
          <w:lang w:eastAsia="zh-CN"/>
        </w:rPr>
        <w:t>估值错误被发现后，有关的当事人应当及时进行处理，处理的程序如下：</w:t>
      </w:r>
    </w:p>
    <w:p w:rsidR="00CB176C">
      <w:pPr>
        <w:snapToGrid w:val="0"/>
        <w:spacing w:after="156" w:afterLines="50" w:line="288" w:lineRule="auto"/>
        <w:ind w:firstLine="480" w:firstLineChars="200"/>
        <w:rPr>
          <w:rStyle w:val="read"/>
          <w:rFonts w:ascii="宋体" w:hAnsi="宋体"/>
          <w:sz w:val="24"/>
          <w:lang w:eastAsia="zh-CN"/>
        </w:rPr>
      </w:pPr>
      <w:r>
        <w:rPr>
          <w:rStyle w:val="read"/>
          <w:rFonts w:ascii="宋体" w:hAnsi="宋体" w:hint="eastAsia"/>
          <w:sz w:val="24"/>
          <w:highlight w:val="white"/>
          <w:lang w:eastAsia="zh-CN"/>
        </w:rPr>
        <w:t>（</w:t>
      </w:r>
      <w:r>
        <w:rPr>
          <w:rStyle w:val="read"/>
          <w:rFonts w:ascii="宋体" w:hAnsi="宋体" w:hint="eastAsia"/>
          <w:sz w:val="24"/>
          <w:highlight w:val="white"/>
          <w:lang w:eastAsia="zh-CN"/>
        </w:rPr>
        <w:t>1</w:t>
      </w:r>
      <w:r>
        <w:rPr>
          <w:rStyle w:val="read"/>
          <w:rFonts w:ascii="宋体" w:hAnsi="宋体" w:hint="eastAsia"/>
          <w:sz w:val="24"/>
          <w:highlight w:val="white"/>
          <w:lang w:eastAsia="zh-CN"/>
        </w:rPr>
        <w:t>）查明估</w:t>
      </w:r>
      <w:r>
        <w:rPr>
          <w:rStyle w:val="read"/>
          <w:rFonts w:ascii="宋体" w:hAnsi="宋体" w:hint="eastAsia"/>
          <w:sz w:val="24"/>
          <w:highlight w:val="white"/>
          <w:lang w:eastAsia="zh-CN"/>
        </w:rPr>
        <w:t>值错误发生的原因，列明所有的当事人，并根据估值错误发生的原因确定估值错误的责任方；</w:t>
      </w:r>
    </w:p>
    <w:p w:rsidR="00CB176C">
      <w:pPr>
        <w:snapToGrid w:val="0"/>
        <w:spacing w:after="156" w:afterLines="50" w:line="288" w:lineRule="auto"/>
        <w:ind w:firstLine="480" w:firstLineChars="200"/>
        <w:rPr>
          <w:rStyle w:val="read"/>
          <w:rFonts w:ascii="宋体" w:hAnsi="宋体"/>
          <w:sz w:val="24"/>
          <w:lang w:eastAsia="zh-CN"/>
        </w:rPr>
      </w:pPr>
      <w:r>
        <w:rPr>
          <w:rStyle w:val="read"/>
          <w:rFonts w:ascii="宋体" w:hAnsi="宋体" w:hint="eastAsia"/>
          <w:sz w:val="24"/>
          <w:highlight w:val="white"/>
          <w:lang w:eastAsia="zh-CN"/>
        </w:rPr>
        <w:t>（</w:t>
      </w:r>
      <w:r>
        <w:rPr>
          <w:rStyle w:val="read"/>
          <w:rFonts w:ascii="宋体" w:hAnsi="宋体" w:hint="eastAsia"/>
          <w:sz w:val="24"/>
          <w:highlight w:val="white"/>
          <w:lang w:eastAsia="zh-CN"/>
        </w:rPr>
        <w:t>2</w:t>
      </w:r>
      <w:r>
        <w:rPr>
          <w:rStyle w:val="read"/>
          <w:rFonts w:ascii="宋体" w:hAnsi="宋体" w:hint="eastAsia"/>
          <w:sz w:val="24"/>
          <w:highlight w:val="white"/>
          <w:lang w:eastAsia="zh-CN"/>
        </w:rPr>
        <w:t>）根据估值错误处理原则或当事人协商的方法对因估值错误造成的损失进行评估；</w:t>
      </w:r>
    </w:p>
    <w:p w:rsidR="00CB176C">
      <w:pPr>
        <w:snapToGrid w:val="0"/>
        <w:spacing w:after="156" w:afterLines="50" w:line="288" w:lineRule="auto"/>
        <w:ind w:firstLine="480" w:firstLineChars="200"/>
        <w:rPr>
          <w:rStyle w:val="read"/>
          <w:rFonts w:ascii="宋体" w:hAnsi="宋体"/>
          <w:sz w:val="24"/>
          <w:lang w:eastAsia="zh-CN"/>
        </w:rPr>
      </w:pPr>
      <w:r>
        <w:rPr>
          <w:rStyle w:val="read"/>
          <w:rFonts w:ascii="宋体" w:hAnsi="宋体" w:hint="eastAsia"/>
          <w:sz w:val="24"/>
          <w:highlight w:val="white"/>
          <w:lang w:eastAsia="zh-CN"/>
        </w:rPr>
        <w:t>（</w:t>
      </w:r>
      <w:r>
        <w:rPr>
          <w:rStyle w:val="read"/>
          <w:rFonts w:ascii="宋体" w:hAnsi="宋体" w:hint="eastAsia"/>
          <w:sz w:val="24"/>
          <w:highlight w:val="white"/>
          <w:lang w:eastAsia="zh-CN"/>
        </w:rPr>
        <w:t>3</w:t>
      </w:r>
      <w:r>
        <w:rPr>
          <w:rStyle w:val="read"/>
          <w:rFonts w:ascii="宋体" w:hAnsi="宋体" w:hint="eastAsia"/>
          <w:sz w:val="24"/>
          <w:highlight w:val="white"/>
          <w:lang w:eastAsia="zh-CN"/>
        </w:rPr>
        <w:t>）根据估值错误处理原则或当事人协商的方法由估值错误的责任方进行更正和赔偿损失；</w:t>
      </w:r>
    </w:p>
    <w:p w:rsidR="00CB176C">
      <w:pPr>
        <w:snapToGrid w:val="0"/>
        <w:spacing w:after="156" w:afterLines="50" w:line="288" w:lineRule="auto"/>
        <w:ind w:firstLine="480" w:firstLineChars="200"/>
        <w:rPr>
          <w:rStyle w:val="read"/>
          <w:rFonts w:ascii="宋体" w:hAnsi="宋体"/>
          <w:sz w:val="24"/>
          <w:lang w:eastAsia="zh-CN"/>
        </w:rPr>
      </w:pPr>
      <w:r>
        <w:rPr>
          <w:rStyle w:val="read"/>
          <w:rFonts w:ascii="宋体" w:hAnsi="宋体" w:hint="eastAsia"/>
          <w:sz w:val="24"/>
          <w:highlight w:val="white"/>
          <w:lang w:eastAsia="zh-CN"/>
        </w:rPr>
        <w:t>（</w:t>
      </w:r>
      <w:r>
        <w:rPr>
          <w:rStyle w:val="read"/>
          <w:rFonts w:ascii="宋体" w:hAnsi="宋体" w:hint="eastAsia"/>
          <w:sz w:val="24"/>
          <w:highlight w:val="white"/>
          <w:lang w:eastAsia="zh-CN"/>
        </w:rPr>
        <w:t>4</w:t>
      </w:r>
      <w:r>
        <w:rPr>
          <w:rStyle w:val="read"/>
          <w:rFonts w:ascii="宋体" w:hAnsi="宋体" w:hint="eastAsia"/>
          <w:sz w:val="24"/>
          <w:highlight w:val="white"/>
          <w:lang w:eastAsia="zh-CN"/>
        </w:rPr>
        <w:t>）根据估值错误处理的方法，需要修改基金登记机构交易数据的，由基金登记机构进行更正，并就估值错误的更正向有关当事人进行确认。</w:t>
      </w:r>
    </w:p>
    <w:p w:rsidR="00CB176C">
      <w:pPr>
        <w:snapToGrid w:val="0"/>
        <w:spacing w:after="156" w:afterLines="50" w:line="288" w:lineRule="auto"/>
        <w:ind w:firstLine="480" w:firstLineChars="200"/>
        <w:rPr>
          <w:rStyle w:val="read"/>
          <w:rFonts w:ascii="宋体" w:hAnsi="宋体"/>
          <w:sz w:val="24"/>
          <w:lang w:eastAsia="zh-CN"/>
        </w:rPr>
      </w:pPr>
      <w:r>
        <w:rPr>
          <w:rStyle w:val="read"/>
          <w:rFonts w:ascii="宋体" w:hAnsi="宋体" w:hint="eastAsia"/>
          <w:sz w:val="24"/>
          <w:highlight w:val="white"/>
          <w:lang w:eastAsia="zh-CN"/>
        </w:rPr>
        <w:t>4.</w:t>
      </w:r>
      <w:r>
        <w:rPr>
          <w:rStyle w:val="read"/>
          <w:rFonts w:ascii="宋体" w:hAnsi="宋体" w:hint="eastAsia"/>
          <w:sz w:val="24"/>
          <w:highlight w:val="white"/>
          <w:lang w:eastAsia="zh-CN"/>
        </w:rPr>
        <w:t>基金份额净值估值错误处理的方法如下：</w:t>
      </w:r>
    </w:p>
    <w:p w:rsidR="00CB176C">
      <w:pPr>
        <w:snapToGrid w:val="0"/>
        <w:spacing w:after="156" w:afterLines="50" w:line="288" w:lineRule="auto"/>
        <w:ind w:firstLine="480" w:firstLineChars="200"/>
        <w:rPr>
          <w:rStyle w:val="read"/>
          <w:rFonts w:ascii="宋体" w:hAnsi="宋体"/>
          <w:sz w:val="24"/>
          <w:lang w:eastAsia="zh-CN"/>
        </w:rPr>
      </w:pPr>
      <w:r>
        <w:rPr>
          <w:rStyle w:val="read"/>
          <w:rFonts w:ascii="宋体" w:hAnsi="宋体" w:hint="eastAsia"/>
          <w:sz w:val="24"/>
          <w:highlight w:val="white"/>
          <w:lang w:eastAsia="zh-CN"/>
        </w:rPr>
        <w:t>（</w:t>
      </w:r>
      <w:r>
        <w:rPr>
          <w:rStyle w:val="read"/>
          <w:rFonts w:ascii="宋体" w:hAnsi="宋体" w:hint="eastAsia"/>
          <w:sz w:val="24"/>
          <w:highlight w:val="white"/>
          <w:lang w:eastAsia="zh-CN"/>
        </w:rPr>
        <w:t>1</w:t>
      </w:r>
      <w:r>
        <w:rPr>
          <w:rStyle w:val="read"/>
          <w:rFonts w:ascii="宋体" w:hAnsi="宋体" w:hint="eastAsia"/>
          <w:sz w:val="24"/>
          <w:highlight w:val="white"/>
          <w:lang w:eastAsia="zh-CN"/>
        </w:rPr>
        <w:t>）基金份额净值计算出现错误时，基金管理人应当立即予以纠正，通报基金托管人，并采取合理的措施防</w:t>
      </w:r>
      <w:r>
        <w:rPr>
          <w:rStyle w:val="read"/>
          <w:rFonts w:ascii="宋体" w:hAnsi="宋体" w:hint="eastAsia"/>
          <w:sz w:val="24"/>
          <w:highlight w:val="white"/>
          <w:lang w:eastAsia="zh-CN"/>
        </w:rPr>
        <w:t>止损失进一步扩大。</w:t>
      </w:r>
    </w:p>
    <w:p w:rsidR="00CB176C">
      <w:pPr>
        <w:snapToGrid w:val="0"/>
        <w:spacing w:after="156" w:afterLines="50" w:line="288" w:lineRule="auto"/>
        <w:ind w:firstLine="480" w:firstLineChars="200"/>
        <w:rPr>
          <w:rStyle w:val="read"/>
          <w:rFonts w:ascii="宋体" w:hAnsi="宋体"/>
          <w:sz w:val="24"/>
          <w:lang w:eastAsia="zh-CN"/>
        </w:rPr>
      </w:pPr>
      <w:r>
        <w:rPr>
          <w:rStyle w:val="read"/>
          <w:rFonts w:ascii="宋体" w:hAnsi="宋体" w:hint="eastAsia"/>
          <w:sz w:val="24"/>
          <w:highlight w:val="white"/>
          <w:lang w:eastAsia="zh-CN"/>
        </w:rPr>
        <w:t>（</w:t>
      </w:r>
      <w:r>
        <w:rPr>
          <w:rStyle w:val="read"/>
          <w:rFonts w:ascii="宋体" w:hAnsi="宋体" w:hint="eastAsia"/>
          <w:sz w:val="24"/>
          <w:highlight w:val="white"/>
          <w:lang w:eastAsia="zh-CN"/>
        </w:rPr>
        <w:t>2</w:t>
      </w:r>
      <w:r>
        <w:rPr>
          <w:rStyle w:val="read"/>
          <w:rFonts w:ascii="宋体" w:hAnsi="宋体" w:hint="eastAsia"/>
          <w:sz w:val="24"/>
          <w:highlight w:val="white"/>
          <w:lang w:eastAsia="zh-CN"/>
        </w:rPr>
        <w:t>）错误偏差达到基金份额净值的</w:t>
      </w:r>
      <w:r>
        <w:rPr>
          <w:rStyle w:val="read"/>
          <w:rFonts w:ascii="宋体" w:hAnsi="宋体" w:hint="eastAsia"/>
          <w:sz w:val="24"/>
          <w:highlight w:val="white"/>
          <w:lang w:eastAsia="zh-CN"/>
        </w:rPr>
        <w:t>0.25%</w:t>
      </w:r>
      <w:r>
        <w:rPr>
          <w:rStyle w:val="read"/>
          <w:rFonts w:ascii="宋体" w:hAnsi="宋体" w:hint="eastAsia"/>
          <w:sz w:val="24"/>
          <w:highlight w:val="white"/>
          <w:lang w:eastAsia="zh-CN"/>
        </w:rPr>
        <w:t>时，基金管理人应当通报基金托管人并报中国证监会备案；错误偏差达到基金份额净值的</w:t>
      </w:r>
      <w:r>
        <w:rPr>
          <w:rStyle w:val="read"/>
          <w:rFonts w:ascii="宋体" w:hAnsi="宋体" w:hint="eastAsia"/>
          <w:sz w:val="24"/>
          <w:highlight w:val="white"/>
          <w:lang w:eastAsia="zh-CN"/>
        </w:rPr>
        <w:t>0.5%</w:t>
      </w:r>
      <w:r>
        <w:rPr>
          <w:rStyle w:val="read"/>
          <w:rFonts w:ascii="宋体" w:hAnsi="宋体" w:hint="eastAsia"/>
          <w:sz w:val="24"/>
          <w:highlight w:val="white"/>
          <w:lang w:eastAsia="zh-CN"/>
        </w:rPr>
        <w:t>时，基金管理人应当公告，并报中国证监会备案。</w:t>
      </w:r>
    </w:p>
    <w:p w:rsidR="00CB176C">
      <w:pPr>
        <w:snapToGrid w:val="0"/>
        <w:spacing w:after="156" w:afterLines="50" w:line="288" w:lineRule="auto"/>
        <w:ind w:firstLine="480" w:firstLineChars="200"/>
        <w:rPr>
          <w:rStyle w:val="read"/>
          <w:rFonts w:ascii="宋体" w:hAnsi="宋体"/>
          <w:sz w:val="24"/>
          <w:lang w:eastAsia="zh-CN"/>
        </w:rPr>
      </w:pPr>
      <w:r>
        <w:rPr>
          <w:rStyle w:val="read"/>
          <w:rFonts w:ascii="宋体" w:hAnsi="宋体" w:hint="eastAsia"/>
          <w:sz w:val="24"/>
          <w:highlight w:val="white"/>
          <w:lang w:eastAsia="zh-CN"/>
        </w:rPr>
        <w:t>（</w:t>
      </w:r>
      <w:r>
        <w:rPr>
          <w:rStyle w:val="read"/>
          <w:rFonts w:ascii="宋体" w:hAnsi="宋体" w:hint="eastAsia"/>
          <w:sz w:val="24"/>
          <w:highlight w:val="white"/>
          <w:lang w:eastAsia="zh-CN"/>
        </w:rPr>
        <w:t>3</w:t>
      </w:r>
      <w:r>
        <w:rPr>
          <w:rStyle w:val="read"/>
          <w:rFonts w:ascii="宋体" w:hAnsi="宋体" w:hint="eastAsia"/>
          <w:sz w:val="24"/>
          <w:highlight w:val="white"/>
          <w:lang w:eastAsia="zh-CN"/>
        </w:rPr>
        <w:t>）前述内容如法律法规或监管机关另有规定的，从其规定处理。</w:t>
      </w:r>
    </w:p>
    <w:p w:rsidR="00CB176C">
      <w:pPr>
        <w:snapToGrid w:val="0"/>
        <w:spacing w:after="156" w:afterLines="50" w:line="288" w:lineRule="auto"/>
        <w:ind w:firstLine="480" w:firstLineChars="200"/>
        <w:outlineLvl w:val="0"/>
        <w:rPr>
          <w:rFonts w:ascii="宋体" w:hAnsi="宋体" w:cs="Arial"/>
          <w:sz w:val="24"/>
          <w:lang w:eastAsia="zh-CN"/>
        </w:rPr>
      </w:pPr>
      <w:r>
        <w:rPr>
          <w:rFonts w:ascii="宋体" w:hAnsi="宋体" w:cs="Arial" w:hint="eastAsia"/>
          <w:sz w:val="24"/>
          <w:highlight w:val="white"/>
          <w:lang w:eastAsia="zh-CN"/>
        </w:rPr>
        <w:t>（四）暂停估值的情形</w:t>
      </w:r>
    </w:p>
    <w:p w:rsidR="00CB176C">
      <w:pPr>
        <w:snapToGrid w:val="0"/>
        <w:spacing w:after="156" w:afterLines="50" w:line="288" w:lineRule="auto"/>
        <w:ind w:firstLine="480" w:firstLineChars="200"/>
        <w:outlineLvl w:val="0"/>
        <w:rPr>
          <w:rFonts w:ascii="宋体" w:hAnsi="宋体" w:cs="Arial"/>
          <w:sz w:val="24"/>
          <w:lang w:eastAsia="zh-CN"/>
        </w:rPr>
      </w:pPr>
      <w:r>
        <w:rPr>
          <w:rFonts w:ascii="宋体" w:hAnsi="宋体" w:cs="Arial" w:hint="eastAsia"/>
          <w:sz w:val="24"/>
          <w:highlight w:val="white"/>
          <w:lang w:eastAsia="zh-CN"/>
        </w:rPr>
        <w:t>1.</w:t>
      </w:r>
      <w:r>
        <w:rPr>
          <w:rFonts w:ascii="宋体" w:hAnsi="宋体" w:cs="Arial" w:hint="eastAsia"/>
          <w:sz w:val="24"/>
          <w:highlight w:val="white"/>
          <w:lang w:eastAsia="zh-CN"/>
        </w:rPr>
        <w:t>基金投资所涉及的证券交易市场遇法定节假日或因其他原因暂停营业时；</w:t>
      </w:r>
    </w:p>
    <w:p w:rsidR="00CB176C">
      <w:pPr>
        <w:snapToGrid w:val="0"/>
        <w:spacing w:after="156" w:afterLines="50" w:line="288" w:lineRule="auto"/>
        <w:ind w:firstLine="480" w:firstLineChars="200"/>
        <w:outlineLvl w:val="0"/>
        <w:rPr>
          <w:rFonts w:ascii="宋体" w:hAnsi="宋体" w:cs="Arial"/>
          <w:sz w:val="24"/>
          <w:lang w:eastAsia="zh-CN"/>
        </w:rPr>
      </w:pPr>
      <w:r>
        <w:rPr>
          <w:rFonts w:ascii="宋体" w:hAnsi="宋体" w:cs="Arial" w:hint="eastAsia"/>
          <w:sz w:val="24"/>
          <w:highlight w:val="white"/>
          <w:lang w:eastAsia="zh-CN"/>
        </w:rPr>
        <w:t>2.</w:t>
      </w:r>
      <w:r>
        <w:rPr>
          <w:rFonts w:ascii="宋体" w:hAnsi="宋体" w:cs="Arial" w:hint="eastAsia"/>
          <w:sz w:val="24"/>
          <w:highlight w:val="white"/>
          <w:lang w:eastAsia="zh-CN"/>
        </w:rPr>
        <w:t>因不可抗力致使基金管理人、基金托管人无法准确评估基金资产价值时；</w:t>
      </w:r>
    </w:p>
    <w:p w:rsidR="00CB176C">
      <w:pPr>
        <w:snapToGrid w:val="0"/>
        <w:spacing w:after="156" w:afterLines="50" w:line="288" w:lineRule="auto"/>
        <w:ind w:firstLine="480" w:firstLineChars="200"/>
        <w:outlineLvl w:val="0"/>
        <w:rPr>
          <w:rFonts w:ascii="宋体" w:hAnsi="宋体" w:cs="Arial"/>
          <w:sz w:val="24"/>
          <w:lang w:eastAsia="zh-CN"/>
        </w:rPr>
      </w:pPr>
      <w:r>
        <w:rPr>
          <w:rFonts w:ascii="宋体" w:hAnsi="宋体" w:cs="Arial" w:hint="eastAsia"/>
          <w:sz w:val="24"/>
          <w:highlight w:val="white"/>
          <w:lang w:eastAsia="zh-CN"/>
        </w:rPr>
        <w:t>3.</w:t>
      </w:r>
      <w:r>
        <w:rPr>
          <w:rFonts w:ascii="宋体" w:hAnsi="宋体" w:cs="Arial" w:hint="eastAsia"/>
          <w:sz w:val="24"/>
          <w:highlight w:val="white"/>
          <w:lang w:eastAsia="zh-CN"/>
        </w:rPr>
        <w:t>当特定资产占前一估值日基金资产净值</w:t>
      </w:r>
      <w:r>
        <w:rPr>
          <w:rFonts w:ascii="宋体" w:hAnsi="宋体" w:cs="Arial" w:hint="eastAsia"/>
          <w:sz w:val="24"/>
          <w:highlight w:val="white"/>
          <w:lang w:eastAsia="zh-CN"/>
        </w:rPr>
        <w:t>50%</w:t>
      </w:r>
      <w:r>
        <w:rPr>
          <w:rFonts w:ascii="宋体" w:hAnsi="宋体" w:cs="Arial" w:hint="eastAsia"/>
          <w:sz w:val="24"/>
          <w:highlight w:val="white"/>
          <w:lang w:eastAsia="zh-CN"/>
        </w:rPr>
        <w:t>以上的，经与基金托管人协商确认后，基金管理人应当暂</w:t>
      </w:r>
      <w:r>
        <w:rPr>
          <w:rFonts w:ascii="宋体" w:hAnsi="宋体" w:cs="Arial" w:hint="eastAsia"/>
          <w:sz w:val="24"/>
          <w:highlight w:val="white"/>
          <w:lang w:eastAsia="zh-CN"/>
        </w:rPr>
        <w:t>停估值；</w:t>
      </w:r>
    </w:p>
    <w:p w:rsidR="00CB176C">
      <w:pPr>
        <w:snapToGrid w:val="0"/>
        <w:spacing w:after="156" w:afterLines="50" w:line="288" w:lineRule="auto"/>
        <w:ind w:firstLine="480" w:firstLineChars="200"/>
        <w:outlineLvl w:val="0"/>
        <w:rPr>
          <w:rFonts w:ascii="宋体" w:hAnsi="宋体" w:cs="Arial"/>
          <w:sz w:val="24"/>
          <w:lang w:eastAsia="zh-CN"/>
        </w:rPr>
      </w:pPr>
      <w:r>
        <w:rPr>
          <w:rFonts w:ascii="宋体" w:hAnsi="宋体" w:cs="Arial" w:hint="eastAsia"/>
          <w:sz w:val="24"/>
          <w:highlight w:val="white"/>
          <w:lang w:eastAsia="zh-CN"/>
        </w:rPr>
        <w:t>4.</w:t>
      </w:r>
      <w:r>
        <w:rPr>
          <w:rFonts w:ascii="宋体" w:hAnsi="宋体" w:cs="Arial" w:hint="eastAsia"/>
          <w:sz w:val="24"/>
          <w:highlight w:val="white"/>
          <w:lang w:eastAsia="zh-CN"/>
        </w:rPr>
        <w:t>中国证监会和基金合同认定的其它情形。</w:t>
      </w:r>
    </w:p>
    <w:p w:rsidR="00CB176C">
      <w:pPr>
        <w:snapToGrid w:val="0"/>
        <w:spacing w:after="156" w:afterLines="50" w:line="288" w:lineRule="auto"/>
        <w:ind w:firstLine="480" w:firstLineChars="200"/>
        <w:outlineLvl w:val="0"/>
        <w:rPr>
          <w:rFonts w:ascii="宋体" w:hAnsi="宋体" w:cs="Arial"/>
          <w:sz w:val="24"/>
          <w:lang w:eastAsia="zh-CN"/>
        </w:rPr>
      </w:pPr>
      <w:r>
        <w:rPr>
          <w:rFonts w:ascii="宋体" w:hAnsi="宋体" w:cs="Arial" w:hint="eastAsia"/>
          <w:sz w:val="24"/>
          <w:highlight w:val="white"/>
          <w:lang w:eastAsia="zh-CN"/>
        </w:rPr>
        <w:t>（五）基金会计制度</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按国家有关部门规定的会计制度执行。</w:t>
      </w:r>
    </w:p>
    <w:p w:rsidR="00CB176C">
      <w:pPr>
        <w:snapToGrid w:val="0"/>
        <w:spacing w:after="156" w:afterLines="50" w:line="288" w:lineRule="auto"/>
        <w:ind w:firstLine="480" w:firstLineChars="200"/>
        <w:outlineLvl w:val="0"/>
        <w:rPr>
          <w:rFonts w:ascii="宋体" w:hAnsi="宋体" w:cs="Arial"/>
          <w:sz w:val="24"/>
          <w:lang w:eastAsia="zh-CN"/>
        </w:rPr>
      </w:pPr>
      <w:r>
        <w:rPr>
          <w:rFonts w:ascii="宋体" w:hAnsi="宋体" w:cs="Arial" w:hint="eastAsia"/>
          <w:sz w:val="24"/>
          <w:highlight w:val="white"/>
          <w:lang w:eastAsia="zh-CN"/>
        </w:rPr>
        <w:t>（六）基金账册的建立</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基金管理人进行基金会计核算并编制基金财务会计报告。基金管理人和基金托管人分别独立地设置、记录和保管本基金的全套账册。若基金管理人和基金托管人对会计处理方法存在分歧，应以基金管理人的处理方法为准。若当日核对不符，暂时无法查找到错账的原因而影响到基金净值信息的计算和公告的，以基金管理人的账册为准。</w:t>
      </w:r>
    </w:p>
    <w:p w:rsidR="00CB176C">
      <w:pPr>
        <w:snapToGrid w:val="0"/>
        <w:spacing w:after="156" w:afterLines="50" w:line="288" w:lineRule="auto"/>
        <w:ind w:firstLine="480" w:firstLineChars="200"/>
        <w:outlineLvl w:val="0"/>
        <w:rPr>
          <w:rFonts w:ascii="宋体" w:hAnsi="宋体" w:cs="Arial"/>
          <w:sz w:val="24"/>
          <w:lang w:eastAsia="zh-CN"/>
        </w:rPr>
      </w:pPr>
      <w:r>
        <w:rPr>
          <w:rFonts w:ascii="宋体" w:hAnsi="宋体" w:cs="Arial" w:hint="eastAsia"/>
          <w:sz w:val="24"/>
          <w:highlight w:val="white"/>
          <w:lang w:eastAsia="zh-CN"/>
        </w:rPr>
        <w:t>（七）基金财务报表与报告的编制和复核</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1.</w:t>
      </w:r>
      <w:r>
        <w:rPr>
          <w:rFonts w:ascii="宋体" w:hAnsi="宋体" w:cs="Arial" w:hint="eastAsia"/>
          <w:sz w:val="24"/>
          <w:highlight w:val="white"/>
          <w:lang w:eastAsia="zh-CN"/>
        </w:rPr>
        <w:t>财务报表的编制</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基金财务报表由基金管理人编制，基金托管人复核。</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2.</w:t>
      </w:r>
      <w:r>
        <w:rPr>
          <w:rFonts w:ascii="宋体" w:hAnsi="宋体" w:cs="Arial" w:hint="eastAsia"/>
          <w:sz w:val="24"/>
          <w:highlight w:val="white"/>
          <w:lang w:eastAsia="zh-CN"/>
        </w:rPr>
        <w:t>报表复核</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基金托管人在收到基金管理人编制的基金财务报表后，进行独立的复核。核对不符时，应及时通知基金管理人共同查出原因，进行调整，直至双方数据完全一致。</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3.</w:t>
      </w:r>
      <w:r>
        <w:rPr>
          <w:rFonts w:ascii="宋体" w:hAnsi="宋体" w:cs="Arial" w:hint="eastAsia"/>
          <w:sz w:val="24"/>
          <w:highlight w:val="white"/>
          <w:lang w:eastAsia="zh-CN"/>
        </w:rPr>
        <w:t>财务报表的编制与复核时间安排</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(1)</w:t>
      </w:r>
      <w:r>
        <w:rPr>
          <w:rFonts w:ascii="宋体" w:hAnsi="宋体" w:cs="Arial" w:hint="eastAsia"/>
          <w:sz w:val="24"/>
          <w:highlight w:val="white"/>
          <w:lang w:eastAsia="zh-CN"/>
        </w:rPr>
        <w:t>报表的编制</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基金管理人应当在季度结束之日起</w:t>
      </w:r>
      <w:r>
        <w:rPr>
          <w:rFonts w:ascii="宋体" w:hAnsi="宋体" w:cs="Arial" w:hint="eastAsia"/>
          <w:sz w:val="24"/>
          <w:highlight w:val="white"/>
          <w:lang w:eastAsia="zh-CN"/>
        </w:rPr>
        <w:t>15</w:t>
      </w:r>
      <w:r>
        <w:rPr>
          <w:rFonts w:ascii="宋体" w:hAnsi="宋体" w:cs="Arial" w:hint="eastAsia"/>
          <w:sz w:val="24"/>
          <w:highlight w:val="white"/>
          <w:lang w:eastAsia="zh-CN"/>
        </w:rPr>
        <w:t>个工作日内完成基金季度报告的编制；在上半年结束之日起两个月内完成基金中期报告的编制；在每年结束之日起三个月内完成基金年度报告的编制。基金年度报告中的财务会计报告应当经过符合《证券法》规定的会计师事务所审计。基金合同生效不</w:t>
      </w:r>
      <w:r>
        <w:rPr>
          <w:rFonts w:ascii="宋体" w:hAnsi="宋体" w:cs="Arial" w:hint="eastAsia"/>
          <w:sz w:val="24"/>
          <w:highlight w:val="white"/>
          <w:lang w:eastAsia="zh-CN"/>
        </w:rPr>
        <w:t>足两个月的，基金管理人可以不编制当期季度报告、中期报告或者年度报告。</w:t>
      </w:r>
    </w:p>
    <w:p w:rsidR="00CB176C">
      <w:pPr>
        <w:pStyle w:val="NormalIndent"/>
        <w:snapToGrid w:val="0"/>
        <w:spacing w:after="156" w:afterLines="50" w:line="288" w:lineRule="auto"/>
        <w:ind w:firstLine="480"/>
        <w:rPr>
          <w:rFonts w:ascii="宋体" w:hAnsi="宋体" w:cs="Arial"/>
          <w:sz w:val="24"/>
          <w:lang w:eastAsia="zh-CN"/>
        </w:rPr>
      </w:pPr>
      <w:r>
        <w:rPr>
          <w:rFonts w:ascii="宋体" w:hAnsi="宋体" w:cs="Arial" w:hint="eastAsia"/>
          <w:sz w:val="24"/>
          <w:highlight w:val="white"/>
          <w:lang w:eastAsia="zh-CN"/>
        </w:rPr>
        <w:t>(2)</w:t>
      </w:r>
      <w:r>
        <w:rPr>
          <w:rFonts w:ascii="宋体" w:hAnsi="宋体" w:cs="Arial" w:hint="eastAsia"/>
          <w:sz w:val="24"/>
          <w:highlight w:val="white"/>
          <w:lang w:eastAsia="zh-CN"/>
        </w:rPr>
        <w:t>报表的复核</w:t>
      </w:r>
    </w:p>
    <w:p w:rsidR="00CB176C">
      <w:pPr>
        <w:pStyle w:val="NormalIndent"/>
        <w:snapToGrid w:val="0"/>
        <w:spacing w:after="156" w:afterLines="50" w:line="288" w:lineRule="auto"/>
        <w:ind w:firstLine="480"/>
        <w:rPr>
          <w:rFonts w:ascii="宋体" w:hAnsi="宋体" w:cs="Arial"/>
          <w:sz w:val="24"/>
          <w:lang w:eastAsia="zh-CN"/>
        </w:rPr>
      </w:pPr>
      <w:r>
        <w:rPr>
          <w:rFonts w:ascii="宋体" w:hAnsi="宋体" w:cs="Arial" w:hint="eastAsia"/>
          <w:sz w:val="24"/>
          <w:highlight w:val="white"/>
          <w:lang w:eastAsia="zh-CN"/>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CB176C">
      <w:pPr>
        <w:pStyle w:val="NormalIndent"/>
        <w:snapToGrid w:val="0"/>
        <w:spacing w:after="156" w:afterLines="50" w:line="288" w:lineRule="auto"/>
        <w:ind w:firstLine="480"/>
        <w:rPr>
          <w:rFonts w:ascii="宋体" w:hAnsi="宋体" w:cs="Arial"/>
          <w:sz w:val="24"/>
          <w:lang w:eastAsia="zh-CN"/>
        </w:rPr>
      </w:pPr>
      <w:r>
        <w:rPr>
          <w:rFonts w:ascii="宋体" w:hAnsi="宋体" w:cs="Arial" w:hint="eastAsia"/>
          <w:sz w:val="24"/>
          <w:highlight w:val="white"/>
          <w:lang w:eastAsia="zh-CN"/>
        </w:rPr>
        <w:t>基金管理人应留足充分的时间，便于基金托管人复核相关报表及报告。</w:t>
      </w:r>
    </w:p>
    <w:p w:rsidR="00CB176C">
      <w:pPr>
        <w:pStyle w:val="NormalIndent"/>
        <w:snapToGrid w:val="0"/>
        <w:spacing w:after="156" w:afterLines="50" w:line="288" w:lineRule="auto"/>
        <w:ind w:firstLine="480"/>
        <w:rPr>
          <w:rFonts w:ascii="宋体" w:hAnsi="宋体" w:cs="Arial"/>
          <w:sz w:val="24"/>
          <w:lang w:eastAsia="zh-CN"/>
        </w:rPr>
      </w:pPr>
      <w:r>
        <w:rPr>
          <w:rFonts w:ascii="宋体" w:hAnsi="宋体" w:cs="Arial" w:hint="eastAsia"/>
          <w:sz w:val="24"/>
          <w:highlight w:val="white"/>
          <w:lang w:eastAsia="zh-CN"/>
        </w:rPr>
        <w:t>（八）基金管理人应在编制季度报告、中期报告或者年度报告之前及时向基金托管人提供基金业绩比较基准的基础数据和编制结果。</w:t>
      </w:r>
    </w:p>
    <w:p w:rsidR="00CB176C">
      <w:pPr>
        <w:pStyle w:val="Heading2"/>
        <w:spacing w:before="0" w:after="156" w:afterLines="50" w:line="288" w:lineRule="auto"/>
        <w:jc w:val="center"/>
        <w:rPr>
          <w:rFonts w:ascii="宋体" w:eastAsia="宋体" w:hAnsi="宋体"/>
          <w:sz w:val="30"/>
          <w:lang w:eastAsia="zh-CN"/>
        </w:rPr>
      </w:pPr>
      <w:bookmarkStart w:id="117" w:name="_Toc124325893"/>
      <w:bookmarkStart w:id="118" w:name="_Toc205489771"/>
      <w:r>
        <w:rPr>
          <w:rFonts w:ascii="宋体" w:eastAsia="宋体" w:hAnsi="宋体" w:hint="eastAsia"/>
          <w:sz w:val="30"/>
          <w:highlight w:val="white"/>
          <w:lang w:eastAsia="zh-CN"/>
        </w:rPr>
        <w:t>十、基金收益分配</w:t>
      </w:r>
      <w:bookmarkEnd w:id="117"/>
      <w:bookmarkEnd w:id="118"/>
    </w:p>
    <w:p w:rsidR="00CB176C">
      <w:pPr>
        <w:pStyle w:val="NormalIndent"/>
        <w:rPr>
          <w:lang w:eastAsia="zh-CN"/>
        </w:rPr>
      </w:pP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基金收益分配是指按规定将基金的可分配收益按基金份额进行比例分配。</w:t>
      </w:r>
    </w:p>
    <w:p w:rsidR="00CB176C">
      <w:pPr>
        <w:snapToGrid w:val="0"/>
        <w:spacing w:after="156" w:afterLines="50" w:line="288" w:lineRule="auto"/>
        <w:ind w:firstLine="480" w:firstLineChars="200"/>
        <w:outlineLvl w:val="0"/>
        <w:rPr>
          <w:rFonts w:ascii="宋体" w:hAnsi="宋体" w:cs="Arial"/>
          <w:sz w:val="24"/>
          <w:lang w:eastAsia="zh-CN"/>
        </w:rPr>
      </w:pPr>
      <w:r>
        <w:rPr>
          <w:rFonts w:ascii="宋体" w:hAnsi="宋体" w:cs="Arial" w:hint="eastAsia"/>
          <w:sz w:val="24"/>
          <w:highlight w:val="white"/>
          <w:lang w:eastAsia="zh-CN"/>
        </w:rPr>
        <w:t>（一）基金收益分配的原则</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1.</w:t>
      </w:r>
      <w:r>
        <w:rPr>
          <w:rFonts w:ascii="宋体" w:hAnsi="宋体" w:cs="Arial" w:hint="eastAsia"/>
          <w:sz w:val="24"/>
          <w:highlight w:val="white"/>
          <w:lang w:eastAsia="zh-CN"/>
        </w:rPr>
        <w:t>在符合有关基金分红条件的前提下，基金管理人可以根据实际情况进行收益分配，具体分配方案以公告为准，若《基金合同》生效不满</w:t>
      </w:r>
      <w:r>
        <w:rPr>
          <w:rFonts w:ascii="宋体" w:hAnsi="宋体" w:cs="Arial" w:hint="eastAsia"/>
          <w:sz w:val="24"/>
          <w:highlight w:val="white"/>
          <w:lang w:eastAsia="zh-CN"/>
        </w:rPr>
        <w:t>3</w:t>
      </w:r>
      <w:r>
        <w:rPr>
          <w:rFonts w:ascii="宋体" w:hAnsi="宋体" w:cs="Arial" w:hint="eastAsia"/>
          <w:sz w:val="24"/>
          <w:highlight w:val="white"/>
          <w:lang w:eastAsia="zh-CN"/>
        </w:rPr>
        <w:t>个月可不进行收益分配；</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2.</w:t>
      </w:r>
      <w:r>
        <w:rPr>
          <w:rFonts w:ascii="宋体" w:hAnsi="宋体" w:cs="Arial" w:hint="eastAsia"/>
          <w:sz w:val="24"/>
          <w:highlight w:val="white"/>
          <w:lang w:eastAsia="zh-CN"/>
        </w:rPr>
        <w:t>本基金收益分配方式分两种：现金分红与红利再投资，投资者可选择现金红利或将现金红利自动转为对应类别的基金份额进行再投资；若投资者不选择，本基金默认的收益分配方式是现金分红；</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3.</w:t>
      </w:r>
      <w:r>
        <w:rPr>
          <w:rFonts w:ascii="宋体" w:hAnsi="宋体" w:cs="Arial" w:hint="eastAsia"/>
          <w:sz w:val="24"/>
          <w:highlight w:val="white"/>
          <w:lang w:eastAsia="zh-CN"/>
        </w:rPr>
        <w:t>基金收益分配后基金份额净值不能低于面值；即基金收益分配基准日的基金份额净值减去每单位基金份额</w:t>
      </w:r>
      <w:r>
        <w:rPr>
          <w:rFonts w:ascii="宋体" w:hAnsi="宋体" w:cs="Arial" w:hint="eastAsia"/>
          <w:sz w:val="24"/>
          <w:highlight w:val="white"/>
          <w:lang w:eastAsia="zh-CN"/>
        </w:rPr>
        <w:t>收益分配金额后不能低于面值；</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4.</w:t>
      </w:r>
      <w:r>
        <w:rPr>
          <w:rFonts w:ascii="宋体" w:hAnsi="宋体" w:cs="Arial" w:hint="eastAsia"/>
          <w:sz w:val="24"/>
          <w:highlight w:val="white"/>
          <w:lang w:eastAsia="zh-CN"/>
        </w:rPr>
        <w:t>本基金各基金份额类别在费用收取上不同，其对应的可分配收益可能有所不同。同一类别的每一基金份额享有同等分配权；</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sz w:val="24"/>
          <w:highlight w:val="white"/>
          <w:lang w:eastAsia="zh-CN"/>
        </w:rPr>
        <w:t>5</w:t>
      </w:r>
      <w:r>
        <w:rPr>
          <w:rFonts w:ascii="宋体" w:hAnsi="宋体" w:cs="Arial" w:hint="eastAsia"/>
          <w:sz w:val="24"/>
          <w:highlight w:val="white"/>
          <w:lang w:eastAsia="zh-CN"/>
        </w:rPr>
        <w:t>.</w:t>
      </w:r>
      <w:r>
        <w:rPr>
          <w:rFonts w:ascii="宋体" w:hAnsi="宋体" w:cs="Arial" w:hint="eastAsia"/>
          <w:sz w:val="24"/>
          <w:highlight w:val="white"/>
          <w:lang w:eastAsia="zh-CN"/>
        </w:rPr>
        <w:t>在对基金份额持有人利益无实质不利影响的前提下，基金管理人</w:t>
      </w:r>
      <w:r>
        <w:rPr>
          <w:rFonts w:ascii="宋体" w:hAnsi="宋体" w:cs="Arial" w:hint="eastAsia"/>
          <w:bCs w:val="0"/>
          <w:sz w:val="24"/>
          <w:highlight w:val="white"/>
          <w:lang w:eastAsia="zh-CN"/>
        </w:rPr>
        <w:t>履行适当程序后，</w:t>
      </w:r>
      <w:r>
        <w:rPr>
          <w:rFonts w:ascii="宋体" w:hAnsi="宋体" w:cs="Arial" w:hint="eastAsia"/>
          <w:sz w:val="24"/>
          <w:highlight w:val="white"/>
          <w:lang w:eastAsia="zh-CN"/>
        </w:rPr>
        <w:t>可调整基金收益的分配原则和支付方式</w:t>
      </w:r>
      <w:r>
        <w:rPr>
          <w:rFonts w:ascii="宋体" w:hAnsi="宋体" w:cs="Arial" w:hint="eastAsia"/>
          <w:sz w:val="24"/>
          <w:highlight w:val="white"/>
          <w:lang w:eastAsia="zh-CN"/>
        </w:rPr>
        <w:t>；</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6.</w:t>
      </w:r>
      <w:r>
        <w:rPr>
          <w:rFonts w:ascii="宋体" w:hAnsi="宋体" w:cs="Arial" w:hint="eastAsia"/>
          <w:sz w:val="24"/>
          <w:highlight w:val="white"/>
          <w:lang w:eastAsia="zh-CN"/>
        </w:rPr>
        <w:t>法律法规或监管机关另有规定的，从其规定。</w:t>
      </w:r>
    </w:p>
    <w:p w:rsidR="00CB176C">
      <w:pPr>
        <w:spacing w:after="156" w:afterLines="50" w:line="288" w:lineRule="auto"/>
        <w:ind w:firstLine="480" w:firstLineChars="200"/>
        <w:rPr>
          <w:rFonts w:ascii="宋体" w:hAnsi="宋体" w:cs="Arial"/>
          <w:sz w:val="24"/>
          <w:lang w:eastAsia="zh-CN"/>
        </w:rPr>
      </w:pPr>
      <w:bookmarkStart w:id="119" w:name="_Toc124325894"/>
      <w:r>
        <w:rPr>
          <w:rFonts w:ascii="宋体" w:hAnsi="宋体" w:cs="Arial" w:hint="eastAsia"/>
          <w:sz w:val="24"/>
          <w:highlight w:val="white"/>
          <w:lang w:eastAsia="zh-CN"/>
        </w:rPr>
        <w:t>（二）基金收益分配的时间和程序</w:t>
      </w:r>
    </w:p>
    <w:p w:rsidR="00CB176C">
      <w:pPr>
        <w:snapToGrid w:val="0"/>
        <w:spacing w:after="156" w:afterLines="50" w:line="288" w:lineRule="auto"/>
        <w:ind w:firstLine="480" w:firstLineChars="200"/>
        <w:outlineLvl w:val="0"/>
        <w:rPr>
          <w:rFonts w:ascii="宋体" w:hAnsi="宋体" w:cs="Arial"/>
          <w:sz w:val="24"/>
          <w:lang w:eastAsia="zh-CN"/>
        </w:rPr>
      </w:pPr>
      <w:r>
        <w:rPr>
          <w:rFonts w:ascii="宋体" w:hAnsi="宋体" w:cs="Arial" w:hint="eastAsia"/>
          <w:sz w:val="24"/>
          <w:highlight w:val="white"/>
          <w:lang w:eastAsia="zh-CN"/>
        </w:rPr>
        <w:t>本基金收益分配方案由基金管理人拟定，并由基金托管人复核，在</w:t>
      </w:r>
      <w:r>
        <w:rPr>
          <w:rFonts w:ascii="宋体" w:hAnsi="宋体" w:cs="Arial" w:hint="eastAsia"/>
          <w:sz w:val="24"/>
          <w:highlight w:val="white"/>
          <w:lang w:eastAsia="zh-CN"/>
        </w:rPr>
        <w:t>2</w:t>
      </w:r>
      <w:r>
        <w:rPr>
          <w:rFonts w:ascii="宋体" w:hAnsi="宋体" w:cs="Arial" w:hint="eastAsia"/>
          <w:sz w:val="24"/>
          <w:highlight w:val="white"/>
          <w:lang w:eastAsia="zh-CN"/>
        </w:rPr>
        <w:t>日内在规定媒介公告。基金收益分配方案公告后，基金管理人就支付的现金红利向基金托管人发送划款指令，基金托管人按照基金管理人的指令及时进行分红资金的划付。</w:t>
      </w:r>
    </w:p>
    <w:p w:rsidR="00CB176C">
      <w:pPr>
        <w:snapToGrid w:val="0"/>
        <w:spacing w:after="156" w:afterLines="50" w:line="288" w:lineRule="auto"/>
        <w:ind w:firstLine="480" w:firstLineChars="200"/>
        <w:outlineLvl w:val="0"/>
        <w:rPr>
          <w:rFonts w:ascii="宋体" w:hAnsi="宋体" w:cs="Arial"/>
          <w:sz w:val="24"/>
          <w:lang w:eastAsia="zh-CN"/>
        </w:rPr>
      </w:pPr>
      <w:r>
        <w:rPr>
          <w:rFonts w:ascii="宋体" w:hAnsi="宋体" w:cs="Arial" w:hint="eastAsia"/>
          <w:sz w:val="24"/>
          <w:highlight w:val="white"/>
          <w:lang w:eastAsia="zh-CN"/>
        </w:rPr>
        <w:t>基金收益分配时所发生的银行转账或其他手续费用由投资者自行承担。当投资者的现金红利小于一定金额，不足以支付银行转账或其他手续费用时，基金登记机构可将基金份额持有人的现金红利自动转为对应类别的基金份额。红利再投资的计算方法，依照《业务规则》执行。</w:t>
      </w:r>
    </w:p>
    <w:p w:rsidR="00CB176C">
      <w:pPr>
        <w:pStyle w:val="Heading2"/>
        <w:spacing w:before="0" w:after="156" w:afterLines="50" w:line="288" w:lineRule="auto"/>
        <w:jc w:val="center"/>
        <w:rPr>
          <w:rFonts w:ascii="宋体" w:eastAsia="宋体" w:hAnsi="宋体"/>
          <w:sz w:val="30"/>
          <w:lang w:eastAsia="zh-CN"/>
        </w:rPr>
      </w:pPr>
      <w:bookmarkStart w:id="120" w:name="_Toc205489772"/>
      <w:r>
        <w:rPr>
          <w:rFonts w:ascii="宋体" w:eastAsia="宋体" w:hAnsi="宋体" w:hint="eastAsia"/>
          <w:sz w:val="30"/>
          <w:highlight w:val="white"/>
          <w:lang w:eastAsia="zh-CN"/>
        </w:rPr>
        <w:t>十一、基金信息披露</w:t>
      </w:r>
      <w:bookmarkEnd w:id="119"/>
      <w:bookmarkEnd w:id="120"/>
    </w:p>
    <w:p w:rsidR="00CB176C">
      <w:pPr>
        <w:pStyle w:val="NormalIndent"/>
        <w:rPr>
          <w:lang w:eastAsia="zh-CN"/>
        </w:rPr>
      </w:pPr>
    </w:p>
    <w:p w:rsidR="00CB176C">
      <w:pPr>
        <w:snapToGrid w:val="0"/>
        <w:spacing w:after="156" w:afterLines="50" w:line="288" w:lineRule="auto"/>
        <w:ind w:firstLine="480" w:firstLineChars="200"/>
        <w:outlineLvl w:val="0"/>
        <w:rPr>
          <w:rFonts w:ascii="宋体" w:hAnsi="宋体" w:cs="Arial"/>
          <w:sz w:val="24"/>
          <w:lang w:eastAsia="zh-CN"/>
        </w:rPr>
      </w:pPr>
      <w:r>
        <w:rPr>
          <w:rFonts w:ascii="宋体" w:hAnsi="宋体" w:cs="Arial" w:hint="eastAsia"/>
          <w:sz w:val="24"/>
          <w:highlight w:val="white"/>
          <w:lang w:eastAsia="zh-CN"/>
        </w:rPr>
        <w:t>（一）保密义务</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基金托管人和基金管理人应按法律法规、基金合同的有关规定进行信息披露，拟公开披露的信息在公开披露之前应予保密。除按《基金法》、《信息披露办法》、基金合同及其他有关规定进行信息披露外，基金管理人和基金托管人对基金运作中产生的信息以及从对方获得的业务信息应予保密。但是，如下情况不应视为基金管理人或基金托管人违反保密义务：</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1.</w:t>
      </w:r>
      <w:r>
        <w:rPr>
          <w:rFonts w:ascii="宋体" w:hAnsi="宋体" w:cs="Arial" w:hint="eastAsia"/>
          <w:sz w:val="24"/>
          <w:highlight w:val="white"/>
          <w:lang w:eastAsia="zh-CN"/>
        </w:rPr>
        <w:t>非因基金管理人和基金托管人的原因导致保密信息被披露、泄露或公开；</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2.</w:t>
      </w:r>
      <w:r>
        <w:rPr>
          <w:rFonts w:ascii="宋体" w:hAnsi="宋体" w:cs="Arial" w:hint="eastAsia"/>
          <w:sz w:val="24"/>
          <w:highlight w:val="white"/>
          <w:lang w:eastAsia="zh-CN"/>
        </w:rPr>
        <w:t>基金管理人和基金托管人为遵守和服从法院判决或裁定、仲裁裁决或中国证监会等监管机构的命令、决定或其他法规规定所做出的信息披</w:t>
      </w:r>
      <w:r>
        <w:rPr>
          <w:rFonts w:ascii="宋体" w:hAnsi="宋体" w:cs="Arial" w:hint="eastAsia"/>
          <w:sz w:val="24"/>
          <w:highlight w:val="white"/>
          <w:lang w:eastAsia="zh-CN"/>
        </w:rPr>
        <w:t>露或公开。</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（二）信息披露的内容</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基金的信息披露内容主要包括基金招募说明书、基金合同、托管协议、基金产品资料概要、基金份额发售公告、基金合同生效公告、</w:t>
      </w:r>
      <w:r>
        <w:rPr>
          <w:rFonts w:ascii="宋体" w:hAnsi="宋体" w:hint="eastAsia"/>
          <w:bCs/>
          <w:sz w:val="24"/>
          <w:highlight w:val="white"/>
          <w:lang w:eastAsia="zh-CN"/>
        </w:rPr>
        <w:t>基金净值信息</w:t>
      </w:r>
      <w:r>
        <w:rPr>
          <w:rFonts w:ascii="宋体" w:hAnsi="宋体" w:cs="Arial" w:hint="eastAsia"/>
          <w:sz w:val="24"/>
          <w:highlight w:val="white"/>
          <w:lang w:eastAsia="zh-CN"/>
        </w:rPr>
        <w:t>、基金份额申购、赎回价格、基金定期报告（包括基金年度报告、基金中期报告和基金季度报告）、临时报告、澄清公告、基金份额持有人大会决议、清算报告、中国证监会规定的其他信息。基金年度报告中的财务会计报告需经符合《证券法》规定的会计师事务所审计后，方可披露。</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（三）基金托管人和基金管理人在信息披露中的职责和信息披露程序</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1.</w:t>
      </w:r>
      <w:r>
        <w:rPr>
          <w:rFonts w:ascii="宋体" w:hAnsi="宋体" w:cs="Arial" w:hint="eastAsia"/>
          <w:sz w:val="24"/>
          <w:highlight w:val="white"/>
          <w:lang w:eastAsia="zh-CN"/>
        </w:rPr>
        <w:t>职责</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基金托管人和基金管理人在信</w:t>
      </w:r>
      <w:r>
        <w:rPr>
          <w:rFonts w:ascii="宋体" w:hAnsi="宋体" w:cs="Arial" w:hint="eastAsia"/>
          <w:sz w:val="24"/>
          <w:highlight w:val="white"/>
          <w:lang w:eastAsia="zh-CN"/>
        </w:rPr>
        <w:t>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对于不需要基金托管人</w:t>
      </w:r>
      <w:r>
        <w:rPr>
          <w:rFonts w:ascii="宋体" w:hAnsi="宋体" w:cs="Arial" w:hint="eastAsia"/>
          <w:sz w:val="24"/>
          <w:highlight w:val="white"/>
          <w:lang w:eastAsia="zh-CN"/>
        </w:rPr>
        <w:t>(</w:t>
      </w:r>
      <w:r>
        <w:rPr>
          <w:rFonts w:ascii="宋体" w:hAnsi="宋体" w:cs="Arial" w:hint="eastAsia"/>
          <w:sz w:val="24"/>
          <w:highlight w:val="white"/>
          <w:lang w:eastAsia="zh-CN"/>
        </w:rPr>
        <w:t>或基金管理人</w:t>
      </w:r>
      <w:r>
        <w:rPr>
          <w:rFonts w:ascii="宋体" w:hAnsi="宋体" w:cs="Arial" w:hint="eastAsia"/>
          <w:sz w:val="24"/>
          <w:highlight w:val="white"/>
          <w:lang w:eastAsia="zh-CN"/>
        </w:rPr>
        <w:t>)</w:t>
      </w:r>
      <w:r>
        <w:rPr>
          <w:rFonts w:ascii="宋体" w:hAnsi="宋体" w:cs="Arial" w:hint="eastAsia"/>
          <w:sz w:val="24"/>
          <w:highlight w:val="white"/>
          <w:lang w:eastAsia="zh-CN"/>
        </w:rPr>
        <w:t>复核的信息，基金管理人</w:t>
      </w:r>
      <w:r>
        <w:rPr>
          <w:rFonts w:ascii="宋体" w:hAnsi="宋体" w:cs="Arial" w:hint="eastAsia"/>
          <w:sz w:val="24"/>
          <w:highlight w:val="white"/>
          <w:lang w:eastAsia="zh-CN"/>
        </w:rPr>
        <w:t>(</w:t>
      </w:r>
      <w:r>
        <w:rPr>
          <w:rFonts w:ascii="宋体" w:hAnsi="宋体" w:cs="Arial" w:hint="eastAsia"/>
          <w:sz w:val="24"/>
          <w:highlight w:val="white"/>
          <w:lang w:eastAsia="zh-CN"/>
        </w:rPr>
        <w:t>或基金托管人</w:t>
      </w:r>
      <w:r>
        <w:rPr>
          <w:rFonts w:ascii="宋体" w:hAnsi="宋体" w:cs="Arial" w:hint="eastAsia"/>
          <w:sz w:val="24"/>
          <w:highlight w:val="white"/>
          <w:lang w:eastAsia="zh-CN"/>
        </w:rPr>
        <w:t>)</w:t>
      </w:r>
      <w:r>
        <w:rPr>
          <w:rFonts w:ascii="宋体" w:hAnsi="宋体" w:cs="Arial" w:hint="eastAsia"/>
          <w:sz w:val="24"/>
          <w:highlight w:val="white"/>
          <w:lang w:eastAsia="zh-CN"/>
        </w:rPr>
        <w:t>在公告前应告知基金托管人</w:t>
      </w:r>
      <w:r>
        <w:rPr>
          <w:rFonts w:ascii="宋体" w:hAnsi="宋体" w:cs="Arial" w:hint="eastAsia"/>
          <w:sz w:val="24"/>
          <w:highlight w:val="white"/>
          <w:lang w:eastAsia="zh-CN"/>
        </w:rPr>
        <w:t>(</w:t>
      </w:r>
      <w:r>
        <w:rPr>
          <w:rFonts w:ascii="宋体" w:hAnsi="宋体" w:cs="Arial" w:hint="eastAsia"/>
          <w:sz w:val="24"/>
          <w:highlight w:val="white"/>
          <w:lang w:eastAsia="zh-CN"/>
        </w:rPr>
        <w:t>或基金管理人</w:t>
      </w:r>
      <w:r>
        <w:rPr>
          <w:rFonts w:ascii="宋体" w:hAnsi="宋体" w:cs="Arial" w:hint="eastAsia"/>
          <w:sz w:val="24"/>
          <w:highlight w:val="white"/>
          <w:lang w:eastAsia="zh-CN"/>
        </w:rPr>
        <w:t>)</w:t>
      </w:r>
      <w:r>
        <w:rPr>
          <w:rFonts w:ascii="宋体" w:hAnsi="宋体" w:cs="Arial" w:hint="eastAsia"/>
          <w:sz w:val="24"/>
          <w:highlight w:val="white"/>
          <w:lang w:eastAsia="zh-CN"/>
        </w:rPr>
        <w:t>。</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基金管理人和基金托管人应积极配合、互相监督，保证其履行按照法定方式和限时披露的义务。</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基金管理人应当在中国证监会规定的时间内，将应予</w:t>
      </w:r>
      <w:r>
        <w:rPr>
          <w:rFonts w:ascii="宋体" w:hAnsi="宋体" w:cs="Arial" w:hint="eastAsia"/>
          <w:sz w:val="24"/>
          <w:highlight w:val="white"/>
          <w:lang w:eastAsia="zh-CN"/>
        </w:rPr>
        <w:t>披露的基金信息通过规定媒介披露。根据法律法规应由基金托管人公开披露的信息，基金托管人将通过规定媒介公开披露。</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当出现下述情况时，基金管理人和基金托管人可暂停或延迟披露基金相关信息：</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(1)</w:t>
      </w:r>
      <w:r>
        <w:rPr>
          <w:rFonts w:ascii="宋体" w:hAnsi="宋体" w:cs="Arial" w:hint="eastAsia"/>
          <w:sz w:val="24"/>
          <w:highlight w:val="white"/>
          <w:lang w:eastAsia="zh-CN"/>
        </w:rPr>
        <w:t>不可抗力；</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(2)</w:t>
      </w:r>
      <w:r>
        <w:rPr>
          <w:rFonts w:ascii="宋体" w:hAnsi="宋体" w:cs="Arial" w:hint="eastAsia"/>
          <w:sz w:val="24"/>
          <w:highlight w:val="white"/>
          <w:lang w:eastAsia="zh-CN"/>
        </w:rPr>
        <w:t>发生暂停估值的情形；</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(3)</w:t>
      </w:r>
      <w:r>
        <w:rPr>
          <w:rFonts w:ascii="宋体" w:hAnsi="宋体" w:cs="Arial" w:hint="eastAsia"/>
          <w:sz w:val="24"/>
          <w:highlight w:val="white"/>
          <w:lang w:eastAsia="zh-CN"/>
        </w:rPr>
        <w:t>法律法规、基金合同或中国证监会规定的情况。</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2.</w:t>
      </w:r>
      <w:r>
        <w:rPr>
          <w:rFonts w:ascii="宋体" w:hAnsi="宋体" w:cs="Arial" w:hint="eastAsia"/>
          <w:sz w:val="24"/>
          <w:highlight w:val="white"/>
          <w:lang w:eastAsia="zh-CN"/>
        </w:rPr>
        <w:t>程序</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按有关规定须经基金托管人复核的信息披露文件，由基金管理人起草并经基金托管人复核后由基金管理人公告。发生基金合同中规定需要披露的事项时，按基金合同规定公布。</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3.</w:t>
      </w:r>
      <w:r>
        <w:rPr>
          <w:rFonts w:ascii="宋体" w:hAnsi="宋体" w:cs="Arial" w:hint="eastAsia"/>
          <w:sz w:val="24"/>
          <w:highlight w:val="white"/>
          <w:lang w:eastAsia="zh-CN"/>
        </w:rPr>
        <w:t>信息文本的存放</w:t>
      </w:r>
    </w:p>
    <w:p w:rsidR="00CB176C">
      <w:pPr>
        <w:tabs>
          <w:tab w:val="left" w:pos="5388"/>
        </w:tabs>
        <w:spacing w:line="360" w:lineRule="auto"/>
        <w:ind w:firstLine="480" w:firstLineChars="200"/>
        <w:rPr>
          <w:rFonts w:ascii="宋体" w:hAnsi="宋体"/>
          <w:bCs/>
          <w:sz w:val="24"/>
          <w:szCs w:val="20"/>
          <w:lang w:eastAsia="zh-CN"/>
        </w:rPr>
      </w:pPr>
      <w:r>
        <w:rPr>
          <w:rFonts w:ascii="宋体" w:hAnsi="宋体" w:hint="eastAsia"/>
          <w:bCs/>
          <w:sz w:val="24"/>
          <w:szCs w:val="20"/>
          <w:highlight w:val="white"/>
          <w:lang w:eastAsia="zh-CN"/>
        </w:rPr>
        <w:t>依法必须披露的信息发布后，基金管理人、基金托管人应当按照相关法律法规规定将信息置备于各自办公场所，供社会公众查阅、复制。</w:t>
      </w:r>
    </w:p>
    <w:p w:rsidR="00CB176C">
      <w:pPr>
        <w:tabs>
          <w:tab w:val="left" w:pos="5388"/>
        </w:tabs>
        <w:spacing w:line="360" w:lineRule="auto"/>
        <w:ind w:firstLine="480" w:firstLineChars="200"/>
        <w:rPr>
          <w:rFonts w:ascii="宋体" w:hAnsi="宋体"/>
          <w:bCs/>
          <w:sz w:val="24"/>
          <w:szCs w:val="20"/>
          <w:lang w:eastAsia="zh-CN"/>
        </w:rPr>
      </w:pPr>
    </w:p>
    <w:p w:rsidR="00CB176C">
      <w:pPr>
        <w:pStyle w:val="Heading2"/>
        <w:spacing w:before="0" w:after="156" w:afterLines="50" w:line="288" w:lineRule="auto"/>
        <w:jc w:val="center"/>
        <w:rPr>
          <w:rFonts w:ascii="宋体" w:eastAsia="宋体" w:hAnsi="宋体"/>
          <w:sz w:val="30"/>
          <w:lang w:eastAsia="zh-CN"/>
        </w:rPr>
      </w:pPr>
      <w:bookmarkStart w:id="121" w:name="_Toc205489773"/>
      <w:r>
        <w:rPr>
          <w:rFonts w:ascii="宋体" w:eastAsia="宋体" w:hAnsi="宋体" w:hint="eastAsia"/>
          <w:sz w:val="30"/>
          <w:highlight w:val="white"/>
          <w:lang w:eastAsia="zh-CN"/>
        </w:rPr>
        <w:t>十二、基金费用和税收</w:t>
      </w:r>
      <w:bookmarkEnd w:id="121"/>
    </w:p>
    <w:p w:rsidR="00CB176C">
      <w:pPr>
        <w:pStyle w:val="NormalIndent"/>
        <w:rPr>
          <w:lang w:eastAsia="zh-CN"/>
        </w:rPr>
      </w:pP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（一）基金管理费的计提比例和计提方法</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本基金的管理费按前一日基金资产净值的</w:t>
      </w:r>
      <w:r>
        <w:rPr>
          <w:rFonts w:ascii="宋体" w:hAnsi="宋体" w:cs="Arial" w:hint="eastAsia"/>
          <w:sz w:val="24"/>
          <w:highlight w:val="white"/>
          <w:lang w:eastAsia="zh-CN"/>
        </w:rPr>
        <w:t>1.20%</w:t>
      </w:r>
      <w:r>
        <w:rPr>
          <w:rFonts w:ascii="宋体" w:hAnsi="宋体" w:cs="Arial" w:hint="eastAsia"/>
          <w:sz w:val="24"/>
          <w:highlight w:val="white"/>
          <w:lang w:eastAsia="zh-CN"/>
        </w:rPr>
        <w:t>年费率计提。管理费的计算方法如下：</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H</w:t>
      </w:r>
      <w:r>
        <w:rPr>
          <w:rFonts w:ascii="宋体" w:hAnsi="宋体" w:cs="Arial" w:hint="eastAsia"/>
          <w:sz w:val="24"/>
          <w:highlight w:val="white"/>
          <w:lang w:eastAsia="zh-CN"/>
        </w:rPr>
        <w:t>＝</w:t>
      </w:r>
      <w:r>
        <w:rPr>
          <w:rFonts w:ascii="宋体" w:hAnsi="宋体" w:cs="Arial" w:hint="eastAsia"/>
          <w:sz w:val="24"/>
          <w:highlight w:val="white"/>
          <w:lang w:eastAsia="zh-CN"/>
        </w:rPr>
        <w:t>E</w:t>
      </w:r>
      <w:r>
        <w:rPr>
          <w:rFonts w:ascii="宋体" w:hAnsi="宋体" w:cs="Arial" w:hint="eastAsia"/>
          <w:sz w:val="24"/>
          <w:highlight w:val="white"/>
          <w:lang w:eastAsia="zh-CN"/>
        </w:rPr>
        <w:t>×</w:t>
      </w:r>
      <w:r>
        <w:rPr>
          <w:rFonts w:ascii="宋体" w:hAnsi="宋体" w:cs="Arial" w:hint="eastAsia"/>
          <w:sz w:val="24"/>
          <w:highlight w:val="white"/>
          <w:lang w:eastAsia="zh-CN"/>
        </w:rPr>
        <w:t>1.20%</w:t>
      </w:r>
      <w:r>
        <w:rPr>
          <w:rFonts w:ascii="宋体" w:hAnsi="宋体" w:cs="Arial" w:hint="eastAsia"/>
          <w:sz w:val="24"/>
          <w:highlight w:val="white"/>
          <w:lang w:eastAsia="zh-CN"/>
        </w:rPr>
        <w:t>÷当年天数</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H</w:t>
      </w:r>
      <w:r>
        <w:rPr>
          <w:rFonts w:ascii="宋体" w:hAnsi="宋体" w:cs="Arial" w:hint="eastAsia"/>
          <w:sz w:val="24"/>
          <w:highlight w:val="white"/>
          <w:lang w:eastAsia="zh-CN"/>
        </w:rPr>
        <w:t>为每日应计提的基金管理费</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E</w:t>
      </w:r>
      <w:r>
        <w:rPr>
          <w:rFonts w:ascii="宋体" w:hAnsi="宋体" w:cs="Arial" w:hint="eastAsia"/>
          <w:sz w:val="24"/>
          <w:highlight w:val="white"/>
          <w:lang w:eastAsia="zh-CN"/>
        </w:rPr>
        <w:t>为前一日的基金资产净值</w:t>
      </w:r>
    </w:p>
    <w:p w:rsidR="00CB176C">
      <w:pPr>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（二）基金托管费的计提比例和计提方法</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本基金的托管费按前一日基金资产净值的</w:t>
      </w:r>
      <w:r>
        <w:rPr>
          <w:rFonts w:ascii="宋体" w:hAnsi="宋体" w:cs="Arial" w:hint="eastAsia"/>
          <w:sz w:val="24"/>
          <w:highlight w:val="white"/>
          <w:lang w:eastAsia="zh-CN"/>
        </w:rPr>
        <w:t>0.20%</w:t>
      </w:r>
      <w:r>
        <w:rPr>
          <w:rFonts w:ascii="宋体" w:hAnsi="宋体" w:cs="Arial" w:hint="eastAsia"/>
          <w:sz w:val="24"/>
          <w:highlight w:val="white"/>
          <w:lang w:eastAsia="zh-CN"/>
        </w:rPr>
        <w:t>年费率计提。托管费的计算方法如下：</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H</w:t>
      </w:r>
      <w:r>
        <w:rPr>
          <w:rFonts w:ascii="宋体" w:hAnsi="宋体" w:cs="Arial" w:hint="eastAsia"/>
          <w:sz w:val="24"/>
          <w:highlight w:val="white"/>
          <w:lang w:eastAsia="zh-CN"/>
        </w:rPr>
        <w:t>＝</w:t>
      </w:r>
      <w:r>
        <w:rPr>
          <w:rFonts w:ascii="宋体" w:hAnsi="宋体" w:cs="Arial" w:hint="eastAsia"/>
          <w:sz w:val="24"/>
          <w:highlight w:val="white"/>
          <w:lang w:eastAsia="zh-CN"/>
        </w:rPr>
        <w:t>E</w:t>
      </w:r>
      <w:r>
        <w:rPr>
          <w:rFonts w:ascii="宋体" w:hAnsi="宋体" w:cs="Arial" w:hint="eastAsia"/>
          <w:sz w:val="24"/>
          <w:highlight w:val="white"/>
          <w:lang w:eastAsia="zh-CN"/>
        </w:rPr>
        <w:t>×</w:t>
      </w:r>
      <w:r>
        <w:rPr>
          <w:rFonts w:ascii="宋体" w:hAnsi="宋体" w:cs="Arial" w:hint="eastAsia"/>
          <w:sz w:val="24"/>
          <w:highlight w:val="white"/>
          <w:lang w:eastAsia="zh-CN"/>
        </w:rPr>
        <w:t>0.20%</w:t>
      </w:r>
      <w:r>
        <w:rPr>
          <w:rFonts w:ascii="宋体" w:hAnsi="宋体" w:cs="Arial" w:hint="eastAsia"/>
          <w:sz w:val="24"/>
          <w:highlight w:val="white"/>
          <w:lang w:eastAsia="zh-CN"/>
        </w:rPr>
        <w:t>÷当年天数</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H</w:t>
      </w:r>
      <w:r>
        <w:rPr>
          <w:rFonts w:ascii="宋体" w:hAnsi="宋体" w:cs="Arial" w:hint="eastAsia"/>
          <w:sz w:val="24"/>
          <w:highlight w:val="white"/>
          <w:lang w:eastAsia="zh-CN"/>
        </w:rPr>
        <w:t>为每日应计提的基金托管费</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E</w:t>
      </w:r>
      <w:r>
        <w:rPr>
          <w:rFonts w:ascii="宋体" w:hAnsi="宋体" w:cs="Arial" w:hint="eastAsia"/>
          <w:sz w:val="24"/>
          <w:highlight w:val="white"/>
          <w:lang w:eastAsia="zh-CN"/>
        </w:rPr>
        <w:t>为前一日的基金资产净值</w:t>
      </w:r>
    </w:p>
    <w:p w:rsidR="00CB176C">
      <w:pPr>
        <w:spacing w:after="156" w:afterLines="50" w:line="288" w:lineRule="auto"/>
        <w:ind w:firstLine="480" w:firstLineChars="200"/>
        <w:rPr>
          <w:rFonts w:ascii="宋体" w:hAnsi="宋体" w:cs="宋体"/>
          <w:sz w:val="24"/>
          <w:lang w:eastAsia="zh-CN"/>
        </w:rPr>
      </w:pPr>
      <w:r>
        <w:rPr>
          <w:rFonts w:ascii="宋体" w:hAnsi="宋体" w:cs="宋体" w:hint="eastAsia"/>
          <w:sz w:val="24"/>
          <w:highlight w:val="white"/>
          <w:lang w:eastAsia="zh-CN"/>
        </w:rPr>
        <w:t>（三）基金销售服务费的计提比例和计提方法</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sz w:val="24"/>
          <w:highlight w:val="white"/>
          <w:lang w:eastAsia="zh-CN"/>
        </w:rPr>
        <w:t>本基金</w:t>
      </w:r>
      <w:r>
        <w:rPr>
          <w:rFonts w:ascii="宋体" w:hAnsi="宋体" w:cs="Arial"/>
          <w:sz w:val="24"/>
          <w:highlight w:val="white"/>
          <w:lang w:eastAsia="zh-CN"/>
        </w:rPr>
        <w:t>A</w:t>
      </w:r>
      <w:r>
        <w:rPr>
          <w:rFonts w:ascii="宋体" w:hAnsi="宋体" w:cs="Arial"/>
          <w:sz w:val="24"/>
          <w:highlight w:val="white"/>
          <w:lang w:eastAsia="zh-CN"/>
        </w:rPr>
        <w:t>类基金份额不收取销售服务费，</w:t>
      </w:r>
      <w:r>
        <w:rPr>
          <w:rFonts w:ascii="宋体" w:hAnsi="宋体" w:cs="Arial"/>
          <w:sz w:val="24"/>
          <w:highlight w:val="white"/>
          <w:lang w:eastAsia="zh-CN"/>
        </w:rPr>
        <w:t>C</w:t>
      </w:r>
      <w:r>
        <w:rPr>
          <w:rFonts w:ascii="宋体" w:hAnsi="宋体" w:cs="Arial"/>
          <w:sz w:val="24"/>
          <w:highlight w:val="white"/>
          <w:lang w:eastAsia="zh-CN"/>
        </w:rPr>
        <w:t>类基金份额的销售服务费年费率为</w:t>
      </w:r>
      <w:r>
        <w:rPr>
          <w:rFonts w:ascii="宋体" w:hAnsi="宋体" w:cs="Arial"/>
          <w:sz w:val="24"/>
          <w:highlight w:val="white"/>
          <w:lang w:eastAsia="zh-CN"/>
        </w:rPr>
        <w:t>0.</w:t>
      </w:r>
      <w:r>
        <w:rPr>
          <w:rFonts w:ascii="宋体" w:hAnsi="宋体" w:cs="Arial"/>
          <w:sz w:val="24"/>
          <w:highlight w:val="white"/>
          <w:lang w:eastAsia="zh-CN"/>
        </w:rPr>
        <w:t>4</w:t>
      </w:r>
      <w:r>
        <w:rPr>
          <w:rFonts w:ascii="宋体" w:hAnsi="宋体" w:cs="Arial"/>
          <w:sz w:val="24"/>
          <w:highlight w:val="white"/>
          <w:lang w:eastAsia="zh-CN"/>
        </w:rPr>
        <w:t>0%</w:t>
      </w:r>
      <w:r>
        <w:rPr>
          <w:rFonts w:ascii="宋体" w:hAnsi="宋体" w:cs="Arial"/>
          <w:sz w:val="24"/>
          <w:highlight w:val="white"/>
          <w:lang w:eastAsia="zh-CN"/>
        </w:rPr>
        <w:t>，按前一日</w:t>
      </w:r>
      <w:r>
        <w:rPr>
          <w:rFonts w:ascii="宋体" w:hAnsi="宋体" w:cs="Arial"/>
          <w:sz w:val="24"/>
          <w:highlight w:val="white"/>
          <w:lang w:eastAsia="zh-CN"/>
        </w:rPr>
        <w:t>C</w:t>
      </w:r>
      <w:r>
        <w:rPr>
          <w:rFonts w:ascii="宋体" w:hAnsi="宋体" w:cs="Arial"/>
          <w:sz w:val="24"/>
          <w:highlight w:val="white"/>
          <w:lang w:eastAsia="zh-CN"/>
        </w:rPr>
        <w:t>类基金资产净值的</w:t>
      </w:r>
      <w:r>
        <w:rPr>
          <w:rFonts w:ascii="宋体" w:hAnsi="宋体" w:cs="Arial"/>
          <w:sz w:val="24"/>
          <w:highlight w:val="white"/>
          <w:lang w:eastAsia="zh-CN"/>
        </w:rPr>
        <w:t>0.</w:t>
      </w:r>
      <w:r>
        <w:rPr>
          <w:rFonts w:ascii="宋体" w:hAnsi="宋体" w:cs="Arial"/>
          <w:sz w:val="24"/>
          <w:highlight w:val="white"/>
          <w:lang w:eastAsia="zh-CN"/>
        </w:rPr>
        <w:t>4</w:t>
      </w:r>
      <w:r>
        <w:rPr>
          <w:rFonts w:ascii="宋体" w:hAnsi="宋体" w:cs="Arial"/>
          <w:sz w:val="24"/>
          <w:highlight w:val="white"/>
          <w:lang w:eastAsia="zh-CN"/>
        </w:rPr>
        <w:t>0%</w:t>
      </w:r>
      <w:r>
        <w:rPr>
          <w:rFonts w:ascii="宋体" w:hAnsi="宋体" w:cs="Arial"/>
          <w:sz w:val="24"/>
          <w:highlight w:val="white"/>
          <w:lang w:eastAsia="zh-CN"/>
        </w:rPr>
        <w:t>年费率计提。</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sz w:val="24"/>
          <w:highlight w:val="white"/>
          <w:lang w:eastAsia="zh-CN"/>
        </w:rPr>
        <w:t>销售服务费的计算方法如下：</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sz w:val="24"/>
          <w:highlight w:val="white"/>
          <w:lang w:eastAsia="zh-CN"/>
        </w:rPr>
        <w:t>H</w:t>
      </w:r>
      <w:r>
        <w:rPr>
          <w:rFonts w:ascii="宋体" w:hAnsi="宋体" w:cs="Arial"/>
          <w:sz w:val="24"/>
          <w:highlight w:val="white"/>
          <w:lang w:eastAsia="zh-CN"/>
        </w:rPr>
        <w:t>＝</w:t>
      </w:r>
      <w:r>
        <w:rPr>
          <w:rFonts w:ascii="宋体" w:hAnsi="宋体" w:cs="Arial"/>
          <w:sz w:val="24"/>
          <w:highlight w:val="white"/>
          <w:lang w:eastAsia="zh-CN"/>
        </w:rPr>
        <w:t>E×0.</w:t>
      </w:r>
      <w:r>
        <w:rPr>
          <w:rFonts w:ascii="宋体" w:hAnsi="宋体" w:cs="Arial"/>
          <w:sz w:val="24"/>
          <w:highlight w:val="white"/>
          <w:lang w:eastAsia="zh-CN"/>
        </w:rPr>
        <w:t>4</w:t>
      </w:r>
      <w:r>
        <w:rPr>
          <w:rFonts w:ascii="宋体" w:hAnsi="宋体" w:cs="Arial"/>
          <w:sz w:val="24"/>
          <w:highlight w:val="white"/>
          <w:lang w:eastAsia="zh-CN"/>
        </w:rPr>
        <w:t>0%÷</w:t>
      </w:r>
      <w:r>
        <w:rPr>
          <w:rFonts w:ascii="宋体" w:hAnsi="宋体" w:cs="Arial"/>
          <w:sz w:val="24"/>
          <w:highlight w:val="white"/>
          <w:lang w:eastAsia="zh-CN"/>
        </w:rPr>
        <w:t>当年天数</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sz w:val="24"/>
          <w:highlight w:val="white"/>
          <w:lang w:eastAsia="zh-CN"/>
        </w:rPr>
        <w:t xml:space="preserve">H </w:t>
      </w:r>
      <w:r>
        <w:rPr>
          <w:rFonts w:ascii="宋体" w:hAnsi="宋体" w:cs="Arial"/>
          <w:sz w:val="24"/>
          <w:highlight w:val="white"/>
          <w:lang w:eastAsia="zh-CN"/>
        </w:rPr>
        <w:t>为</w:t>
      </w:r>
      <w:r>
        <w:rPr>
          <w:rFonts w:ascii="宋体" w:hAnsi="宋体" w:cs="Arial"/>
          <w:sz w:val="24"/>
          <w:highlight w:val="white"/>
          <w:lang w:eastAsia="zh-CN"/>
        </w:rPr>
        <w:t>C</w:t>
      </w:r>
      <w:r>
        <w:rPr>
          <w:rFonts w:ascii="宋体" w:hAnsi="宋体" w:cs="Arial"/>
          <w:sz w:val="24"/>
          <w:highlight w:val="white"/>
          <w:lang w:eastAsia="zh-CN"/>
        </w:rPr>
        <w:t>类基金份额每日应计提的销售服务费</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sz w:val="24"/>
          <w:highlight w:val="white"/>
          <w:lang w:eastAsia="zh-CN"/>
        </w:rPr>
        <w:t xml:space="preserve">E </w:t>
      </w:r>
      <w:r>
        <w:rPr>
          <w:rFonts w:ascii="宋体" w:hAnsi="宋体" w:cs="Arial"/>
          <w:sz w:val="24"/>
          <w:highlight w:val="white"/>
          <w:lang w:eastAsia="zh-CN"/>
        </w:rPr>
        <w:t>为</w:t>
      </w:r>
      <w:r>
        <w:rPr>
          <w:rFonts w:ascii="宋体" w:hAnsi="宋体" w:cs="Arial"/>
          <w:sz w:val="24"/>
          <w:highlight w:val="white"/>
          <w:lang w:eastAsia="zh-CN"/>
        </w:rPr>
        <w:t>C</w:t>
      </w:r>
      <w:r>
        <w:rPr>
          <w:rFonts w:ascii="宋体" w:hAnsi="宋体" w:cs="Arial"/>
          <w:sz w:val="24"/>
          <w:highlight w:val="white"/>
          <w:lang w:eastAsia="zh-CN"/>
        </w:rPr>
        <w:t>类基金份额前一日基金资产净值</w:t>
      </w:r>
    </w:p>
    <w:p w:rsidR="00CB176C">
      <w:pPr>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（四）基金合同生效后与基金相关的信息披露费用、基金合同生效后与基金相关的会计师费、律师费、仲裁费和诉讼费、基金份额持有人大会费用、</w:t>
      </w:r>
      <w:r>
        <w:rPr>
          <w:rFonts w:ascii="宋体" w:hAnsi="宋体"/>
          <w:bCs/>
          <w:sz w:val="24"/>
          <w:highlight w:val="white"/>
          <w:lang w:eastAsia="zh-CN"/>
        </w:rPr>
        <w:t>基金的证券交易费用</w:t>
      </w:r>
      <w:r>
        <w:rPr>
          <w:rFonts w:ascii="宋体" w:hAnsi="宋体" w:cs="Arial" w:hint="eastAsia"/>
          <w:bCs/>
          <w:sz w:val="24"/>
          <w:highlight w:val="white"/>
          <w:lang w:eastAsia="zh-CN"/>
        </w:rPr>
        <w:t>、</w:t>
      </w:r>
      <w:r>
        <w:rPr>
          <w:rFonts w:ascii="宋体" w:hAnsi="宋体" w:cs="Arial"/>
          <w:bCs/>
          <w:sz w:val="24"/>
          <w:highlight w:val="white"/>
          <w:lang w:eastAsia="zh-CN"/>
        </w:rPr>
        <w:t>基金的银行汇划费用</w:t>
      </w:r>
      <w:r>
        <w:rPr>
          <w:rFonts w:ascii="宋体" w:hAnsi="宋体" w:cs="Arial" w:hint="eastAsia"/>
          <w:bCs/>
          <w:sz w:val="24"/>
          <w:highlight w:val="white"/>
          <w:lang w:eastAsia="zh-CN"/>
        </w:rPr>
        <w:t>、</w:t>
      </w:r>
      <w:r>
        <w:rPr>
          <w:rFonts w:ascii="宋体" w:hAnsi="宋体" w:hint="eastAsia"/>
          <w:bCs/>
          <w:sz w:val="24"/>
          <w:highlight w:val="white"/>
          <w:lang w:eastAsia="zh-CN"/>
        </w:rPr>
        <w:t>证券账户开户费用、银行账户维护费用</w:t>
      </w:r>
      <w:r>
        <w:rPr>
          <w:rFonts w:ascii="宋体" w:hAnsi="宋体" w:cs="Arial" w:hint="eastAsia"/>
          <w:bCs/>
          <w:sz w:val="24"/>
          <w:highlight w:val="white"/>
          <w:lang w:eastAsia="zh-CN"/>
        </w:rPr>
        <w:t>、</w:t>
      </w:r>
      <w:r>
        <w:rPr>
          <w:rFonts w:ascii="宋体" w:hAnsi="宋体" w:hint="eastAsia"/>
          <w:bCs/>
          <w:sz w:val="24"/>
          <w:highlight w:val="white"/>
          <w:lang w:eastAsia="zh-CN"/>
        </w:rPr>
        <w:t>因投资内地与香港股票市场交易互联互通机制允许买卖的香港证券市场股票而产生的各项合理费用</w:t>
      </w:r>
      <w:r>
        <w:rPr>
          <w:rFonts w:ascii="宋体" w:hAnsi="宋体" w:cs="Arial" w:hint="eastAsia"/>
          <w:sz w:val="24"/>
          <w:highlight w:val="white"/>
          <w:lang w:eastAsia="zh-CN"/>
        </w:rPr>
        <w:t>等根据有关法律法规、基金合同及相应协议的规定，列入当期基金费用。</w:t>
      </w:r>
    </w:p>
    <w:p w:rsidR="00CB176C">
      <w:pPr>
        <w:snapToGrid w:val="0"/>
        <w:spacing w:after="156" w:afterLines="50" w:line="288" w:lineRule="auto"/>
        <w:ind w:firstLine="480" w:firstLineChars="200"/>
        <w:outlineLvl w:val="0"/>
        <w:rPr>
          <w:rFonts w:ascii="宋体" w:hAnsi="宋体" w:cs="Arial"/>
          <w:sz w:val="24"/>
          <w:lang w:eastAsia="zh-CN"/>
        </w:rPr>
      </w:pPr>
      <w:r>
        <w:rPr>
          <w:rFonts w:ascii="宋体" w:hAnsi="宋体" w:cs="Arial" w:hint="eastAsia"/>
          <w:sz w:val="24"/>
          <w:highlight w:val="white"/>
          <w:lang w:eastAsia="zh-CN"/>
        </w:rPr>
        <w:t>（五）不列入基金费用的项目</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基金合同生效前的律师费、会计师费和信息披露费用等费用不得从基金财产中列支；基金管理人和基金托管人因未履行或未完全履行义务导致的费用支出或基金财产的损失，处理与基金运作无关的事项发生的费用以及</w:t>
      </w:r>
      <w:r>
        <w:rPr>
          <w:rFonts w:ascii="宋体" w:hAnsi="宋体" w:cs="Arial"/>
          <w:bCs/>
          <w:sz w:val="24"/>
          <w:highlight w:val="white"/>
          <w:lang w:eastAsia="zh-CN"/>
        </w:rPr>
        <w:t>其他根据相关法律法规及中国证监会的有关规定不得列入基金费用的项目</w:t>
      </w:r>
      <w:r>
        <w:rPr>
          <w:rFonts w:ascii="宋体" w:hAnsi="宋体" w:cs="Arial" w:hint="eastAsia"/>
          <w:sz w:val="24"/>
          <w:highlight w:val="white"/>
          <w:lang w:eastAsia="zh-CN"/>
        </w:rPr>
        <w:t>等，不列入基金费用。</w:t>
      </w:r>
    </w:p>
    <w:p w:rsidR="00CB176C">
      <w:pPr>
        <w:snapToGrid w:val="0"/>
        <w:spacing w:after="156" w:afterLines="50" w:line="288" w:lineRule="auto"/>
        <w:ind w:firstLine="480" w:firstLineChars="200"/>
        <w:outlineLvl w:val="0"/>
        <w:rPr>
          <w:rFonts w:ascii="宋体" w:hAnsi="宋体" w:cs="Arial"/>
          <w:sz w:val="24"/>
          <w:lang w:eastAsia="zh-CN"/>
        </w:rPr>
      </w:pPr>
      <w:r>
        <w:rPr>
          <w:rFonts w:ascii="宋体" w:hAnsi="宋体" w:cs="Arial" w:hint="eastAsia"/>
          <w:sz w:val="24"/>
          <w:highlight w:val="white"/>
          <w:lang w:eastAsia="zh-CN"/>
        </w:rPr>
        <w:t>（六）基金管理费、基金托管费、销售服务费的复核程序、支付方式和时间</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1.</w:t>
      </w:r>
      <w:r>
        <w:rPr>
          <w:rFonts w:ascii="宋体" w:hAnsi="宋体" w:cs="Arial" w:hint="eastAsia"/>
          <w:sz w:val="24"/>
          <w:highlight w:val="white"/>
          <w:lang w:eastAsia="zh-CN"/>
        </w:rPr>
        <w:t>复核程序</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基金托管人对基金管理人计提的基金管理费、基金托管费、销售服务费，根据本托管协议和基金合同的有关规定进行复核。</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2.</w:t>
      </w:r>
      <w:r>
        <w:rPr>
          <w:rFonts w:ascii="宋体" w:hAnsi="宋体" w:cs="Arial" w:hint="eastAsia"/>
          <w:sz w:val="24"/>
          <w:highlight w:val="white"/>
          <w:lang w:eastAsia="zh-CN"/>
        </w:rPr>
        <w:t>支付方式和时间</w:t>
      </w:r>
    </w:p>
    <w:p w:rsidR="00CB176C">
      <w:pPr>
        <w:snapToGrid w:val="0"/>
        <w:spacing w:after="156" w:afterLines="50" w:line="288" w:lineRule="auto"/>
        <w:ind w:firstLine="480" w:firstLineChars="200"/>
        <w:rPr>
          <w:bCs/>
          <w:sz w:val="24"/>
          <w:lang w:eastAsia="zh-CN"/>
        </w:rPr>
      </w:pPr>
      <w:bookmarkStart w:id="122" w:name="_Hlk79100442"/>
      <w:r>
        <w:rPr>
          <w:rFonts w:hint="eastAsia"/>
          <w:bCs/>
          <w:sz w:val="24"/>
          <w:highlight w:val="white"/>
          <w:lang w:eastAsia="zh-CN"/>
        </w:rPr>
        <w:t>基金管理费每日计提，</w:t>
      </w:r>
      <w:r>
        <w:rPr>
          <w:bCs/>
          <w:sz w:val="24"/>
          <w:highlight w:val="white"/>
          <w:lang w:eastAsia="zh-CN"/>
        </w:rPr>
        <w:t>逐日累计至每月月末，</w:t>
      </w:r>
      <w:r>
        <w:rPr>
          <w:rFonts w:hint="eastAsia"/>
          <w:bCs/>
          <w:sz w:val="24"/>
          <w:highlight w:val="white"/>
          <w:lang w:eastAsia="zh-CN"/>
        </w:rPr>
        <w:t>按月支付。由基金托管人根据与基金管理人核对一致的估值数据以及按照上述公式进行计算的结果，由基金管理人出具资金划拨指令支付；或自动在每月初的</w:t>
      </w:r>
      <w:r>
        <w:rPr>
          <w:rFonts w:ascii="宋体" w:hAnsi="宋体" w:cs="宋体" w:hint="eastAsia"/>
          <w:bCs/>
          <w:sz w:val="24"/>
          <w:highlight w:val="white"/>
          <w:lang w:eastAsia="zh-CN"/>
        </w:rPr>
        <w:t>3</w:t>
      </w:r>
      <w:r>
        <w:rPr>
          <w:rFonts w:hint="eastAsia"/>
          <w:bCs/>
          <w:sz w:val="24"/>
          <w:highlight w:val="white"/>
          <w:lang w:eastAsia="zh-CN"/>
        </w:rPr>
        <w:t>个工作日内按照基金管理人指定的管理费账户路径进行资金支付，基金管理人无需再出具资金划拨指令。</w:t>
      </w:r>
      <w:r>
        <w:rPr>
          <w:bCs/>
          <w:sz w:val="24"/>
          <w:highlight w:val="white"/>
          <w:lang w:eastAsia="zh-CN"/>
        </w:rPr>
        <w:t>若遇法</w:t>
      </w:r>
      <w:r>
        <w:rPr>
          <w:bCs/>
          <w:sz w:val="24"/>
          <w:highlight w:val="white"/>
          <w:lang w:eastAsia="zh-CN"/>
        </w:rPr>
        <w:t>定节假日、公休假等</w:t>
      </w:r>
      <w:r>
        <w:rPr>
          <w:rFonts w:hint="eastAsia"/>
          <w:bCs/>
          <w:sz w:val="24"/>
          <w:highlight w:val="white"/>
          <w:lang w:eastAsia="zh-CN"/>
        </w:rPr>
        <w:t>，</w:t>
      </w:r>
      <w:r>
        <w:rPr>
          <w:bCs/>
          <w:sz w:val="24"/>
          <w:highlight w:val="white"/>
          <w:lang w:eastAsia="zh-CN"/>
        </w:rPr>
        <w:t>支付日期顺延。</w:t>
      </w:r>
    </w:p>
    <w:p w:rsidR="00CB176C">
      <w:pPr>
        <w:snapToGrid w:val="0"/>
        <w:spacing w:after="156" w:afterLines="50" w:line="288" w:lineRule="auto"/>
        <w:ind w:firstLine="480" w:firstLineChars="200"/>
        <w:rPr>
          <w:bCs/>
          <w:sz w:val="24"/>
          <w:lang w:eastAsia="zh-CN"/>
        </w:rPr>
      </w:pPr>
      <w:r>
        <w:rPr>
          <w:rFonts w:hint="eastAsia"/>
          <w:bCs/>
          <w:sz w:val="24"/>
          <w:highlight w:val="white"/>
          <w:lang w:eastAsia="zh-CN"/>
        </w:rPr>
        <w:t>基金托管费每日计提，</w:t>
      </w:r>
      <w:r>
        <w:rPr>
          <w:bCs/>
          <w:sz w:val="24"/>
          <w:highlight w:val="white"/>
          <w:lang w:eastAsia="zh-CN"/>
        </w:rPr>
        <w:t>逐日累计至每月月末，</w:t>
      </w:r>
      <w:r>
        <w:rPr>
          <w:rFonts w:hint="eastAsia"/>
          <w:bCs/>
          <w:sz w:val="24"/>
          <w:highlight w:val="white"/>
          <w:lang w:eastAsia="zh-CN"/>
        </w:rPr>
        <w:t>按月支付。由基金托管人根据与基金管理人核对一致的估值数据以及按照上述公式进行计算的结果，由基金管理人出具资金划拨指令支付；或自动在每月初的</w:t>
      </w:r>
      <w:r>
        <w:rPr>
          <w:rFonts w:ascii="宋体" w:hAnsi="宋体" w:cs="宋体" w:hint="eastAsia"/>
          <w:bCs/>
          <w:sz w:val="24"/>
          <w:highlight w:val="white"/>
          <w:lang w:eastAsia="zh-CN"/>
        </w:rPr>
        <w:t>3</w:t>
      </w:r>
      <w:r>
        <w:rPr>
          <w:rFonts w:hint="eastAsia"/>
          <w:bCs/>
          <w:sz w:val="24"/>
          <w:highlight w:val="white"/>
          <w:lang w:eastAsia="zh-CN"/>
        </w:rPr>
        <w:t>个工作日内按照基金托管人指定的托管费账户路径进行资金支付，基金管理人无需再出具资金划拨指令。</w:t>
      </w:r>
      <w:r>
        <w:rPr>
          <w:bCs/>
          <w:sz w:val="24"/>
          <w:highlight w:val="white"/>
          <w:lang w:eastAsia="zh-CN"/>
        </w:rPr>
        <w:t>若遇法定节假日、公休假等</w:t>
      </w:r>
      <w:r>
        <w:rPr>
          <w:rFonts w:hint="eastAsia"/>
          <w:bCs/>
          <w:sz w:val="24"/>
          <w:highlight w:val="white"/>
          <w:lang w:eastAsia="zh-CN"/>
        </w:rPr>
        <w:t>，</w:t>
      </w:r>
      <w:r>
        <w:rPr>
          <w:bCs/>
          <w:sz w:val="24"/>
          <w:highlight w:val="white"/>
          <w:lang w:eastAsia="zh-CN"/>
        </w:rPr>
        <w:t>支付日期顺延。</w:t>
      </w:r>
    </w:p>
    <w:p w:rsidR="00CB176C">
      <w:pPr>
        <w:snapToGrid w:val="0"/>
        <w:spacing w:after="156" w:afterLines="50" w:line="288" w:lineRule="auto"/>
        <w:ind w:firstLine="480" w:firstLineChars="200"/>
        <w:rPr>
          <w:bCs/>
          <w:sz w:val="24"/>
          <w:highlight w:val="white"/>
          <w:lang w:eastAsia="zh-CN"/>
        </w:rPr>
      </w:pPr>
      <w:r>
        <w:rPr>
          <w:rFonts w:hint="eastAsia"/>
          <w:bCs/>
          <w:sz w:val="24"/>
          <w:highlight w:val="white"/>
          <w:lang w:eastAsia="zh-CN"/>
        </w:rPr>
        <w:t>销售服务费每日计提，具体如下：</w:t>
      </w:r>
    </w:p>
    <w:p w:rsidR="00CB176C">
      <w:pPr>
        <w:snapToGrid w:val="0"/>
        <w:spacing w:after="156" w:afterLines="50" w:line="288" w:lineRule="auto"/>
        <w:ind w:firstLine="480" w:firstLineChars="200"/>
        <w:rPr>
          <w:bCs/>
          <w:sz w:val="24"/>
          <w:highlight w:val="white"/>
          <w:lang w:eastAsia="zh-CN"/>
        </w:rPr>
      </w:pPr>
      <w:r>
        <w:rPr>
          <w:bCs/>
          <w:sz w:val="24"/>
          <w:highlight w:val="white"/>
          <w:lang w:eastAsia="zh-CN"/>
        </w:rPr>
        <w:t>（</w:t>
      </w:r>
      <w:r>
        <w:rPr>
          <w:bCs/>
          <w:sz w:val="24"/>
          <w:highlight w:val="white"/>
          <w:lang w:eastAsia="zh-CN"/>
        </w:rPr>
        <w:t>1</w:t>
      </w:r>
      <w:r>
        <w:rPr>
          <w:bCs/>
          <w:sz w:val="24"/>
          <w:highlight w:val="white"/>
          <w:lang w:eastAsia="zh-CN"/>
        </w:rPr>
        <w:t>）通过</w:t>
      </w:r>
      <w:r>
        <w:rPr>
          <w:rFonts w:hint="eastAsia"/>
          <w:bCs/>
          <w:sz w:val="24"/>
          <w:highlight w:val="white"/>
          <w:lang w:eastAsia="zh-CN"/>
        </w:rPr>
        <w:t>基金</w:t>
      </w:r>
      <w:r>
        <w:rPr>
          <w:bCs/>
          <w:sz w:val="24"/>
          <w:highlight w:val="white"/>
          <w:lang w:eastAsia="zh-CN"/>
        </w:rPr>
        <w:t>管理人</w:t>
      </w:r>
      <w:r>
        <w:rPr>
          <w:rFonts w:hint="eastAsia"/>
          <w:bCs/>
          <w:sz w:val="24"/>
          <w:highlight w:val="white"/>
          <w:lang w:eastAsia="zh-CN"/>
        </w:rPr>
        <w:t>或</w:t>
      </w:r>
      <w:r>
        <w:rPr>
          <w:bCs/>
          <w:sz w:val="24"/>
          <w:highlight w:val="white"/>
          <w:lang w:eastAsia="zh-CN"/>
        </w:rPr>
        <w:t>其基金销售子公司投资的</w:t>
      </w:r>
      <w:r>
        <w:rPr>
          <w:rFonts w:hint="eastAsia"/>
          <w:bCs/>
          <w:sz w:val="24"/>
          <w:highlight w:val="white"/>
          <w:lang w:eastAsia="zh-CN"/>
        </w:rPr>
        <w:t>C</w:t>
      </w:r>
      <w:r>
        <w:rPr>
          <w:rFonts w:hint="eastAsia"/>
          <w:bCs/>
          <w:sz w:val="24"/>
          <w:highlight w:val="white"/>
          <w:lang w:eastAsia="zh-CN"/>
        </w:rPr>
        <w:t>类</w:t>
      </w:r>
      <w:r>
        <w:rPr>
          <w:bCs/>
          <w:sz w:val="24"/>
          <w:highlight w:val="white"/>
          <w:lang w:eastAsia="zh-CN"/>
        </w:rPr>
        <w:t>基金份额</w:t>
      </w:r>
    </w:p>
    <w:p w:rsidR="00CB176C">
      <w:pPr>
        <w:snapToGrid w:val="0"/>
        <w:spacing w:after="156" w:afterLines="50" w:line="288" w:lineRule="auto"/>
        <w:ind w:firstLine="480" w:firstLineChars="200"/>
        <w:rPr>
          <w:bCs/>
          <w:sz w:val="24"/>
          <w:highlight w:val="white"/>
          <w:lang w:eastAsia="zh-CN"/>
        </w:rPr>
      </w:pPr>
      <w:r>
        <w:rPr>
          <w:rFonts w:hint="eastAsia"/>
          <w:bCs/>
          <w:sz w:val="24"/>
          <w:highlight w:val="white"/>
          <w:lang w:eastAsia="zh-CN"/>
        </w:rPr>
        <w:t>对于基金份额计提的销售服务费，在投资者赎回基金份额或基金合同终止时，随赎回款（或清算款）一并返还给投资者。</w:t>
      </w:r>
    </w:p>
    <w:p w:rsidR="00CB176C">
      <w:pPr>
        <w:snapToGrid w:val="0"/>
        <w:spacing w:after="156" w:afterLines="50" w:line="288" w:lineRule="auto"/>
        <w:ind w:firstLine="480" w:firstLineChars="200"/>
        <w:rPr>
          <w:bCs/>
          <w:sz w:val="24"/>
          <w:highlight w:val="white"/>
          <w:lang w:eastAsia="zh-CN"/>
        </w:rPr>
      </w:pPr>
      <w:r>
        <w:rPr>
          <w:rFonts w:hint="eastAsia"/>
          <w:bCs/>
          <w:sz w:val="24"/>
          <w:highlight w:val="white"/>
          <w:lang w:eastAsia="zh-CN"/>
        </w:rPr>
        <w:t>（</w:t>
      </w:r>
      <w:r>
        <w:rPr>
          <w:rFonts w:hint="eastAsia"/>
          <w:bCs/>
          <w:sz w:val="24"/>
          <w:highlight w:val="white"/>
          <w:lang w:eastAsia="zh-CN"/>
        </w:rPr>
        <w:t>2</w:t>
      </w:r>
      <w:r>
        <w:rPr>
          <w:rFonts w:hint="eastAsia"/>
          <w:bCs/>
          <w:sz w:val="24"/>
          <w:highlight w:val="white"/>
          <w:lang w:eastAsia="zh-CN"/>
        </w:rPr>
        <w:t>）通过其他销售机构投资的</w:t>
      </w:r>
      <w:r>
        <w:rPr>
          <w:rFonts w:hint="eastAsia"/>
          <w:bCs/>
          <w:sz w:val="24"/>
          <w:highlight w:val="white"/>
          <w:lang w:eastAsia="zh-CN"/>
        </w:rPr>
        <w:t>C</w:t>
      </w:r>
      <w:r>
        <w:rPr>
          <w:rFonts w:hint="eastAsia"/>
          <w:bCs/>
          <w:sz w:val="24"/>
          <w:highlight w:val="white"/>
          <w:lang w:eastAsia="zh-CN"/>
        </w:rPr>
        <w:t>类基金份额</w:t>
      </w:r>
    </w:p>
    <w:p w:rsidR="00CB176C">
      <w:pPr>
        <w:snapToGrid w:val="0"/>
        <w:spacing w:after="156" w:afterLines="50" w:line="288" w:lineRule="auto"/>
        <w:ind w:firstLine="480" w:firstLineChars="200"/>
        <w:rPr>
          <w:bCs/>
          <w:sz w:val="24"/>
          <w:highlight w:val="white"/>
          <w:lang w:eastAsia="zh-CN"/>
        </w:rPr>
      </w:pPr>
      <w:r>
        <w:rPr>
          <w:rFonts w:hint="eastAsia"/>
          <w:bCs/>
          <w:sz w:val="24"/>
          <w:highlight w:val="white"/>
          <w:lang w:eastAsia="zh-CN"/>
        </w:rPr>
        <w:t>对于投资者持续持有期限不足一年（即</w:t>
      </w:r>
      <w:r>
        <w:rPr>
          <w:bCs/>
          <w:sz w:val="24"/>
          <w:highlight w:val="white"/>
          <w:lang w:eastAsia="zh-CN"/>
        </w:rPr>
        <w:t>365</w:t>
      </w:r>
      <w:r>
        <w:rPr>
          <w:rFonts w:hint="eastAsia"/>
          <w:bCs/>
          <w:sz w:val="24"/>
          <w:highlight w:val="white"/>
          <w:lang w:eastAsia="zh-CN"/>
        </w:rPr>
        <w:t>天，下同）的基金份额计提的销售服务费，</w:t>
      </w:r>
      <w:r>
        <w:rPr>
          <w:bCs/>
          <w:sz w:val="24"/>
          <w:highlight w:val="white"/>
          <w:lang w:eastAsia="zh-CN"/>
        </w:rPr>
        <w:t>基金托管人按照与基金管理人协商一致的方式于</w:t>
      </w:r>
      <w:r>
        <w:rPr>
          <w:rFonts w:hint="eastAsia"/>
          <w:bCs/>
          <w:sz w:val="24"/>
          <w:highlight w:val="white"/>
          <w:lang w:eastAsia="zh-CN"/>
        </w:rPr>
        <w:t>每月初的</w:t>
      </w:r>
      <w:r>
        <w:rPr>
          <w:rFonts w:hint="eastAsia"/>
          <w:bCs/>
          <w:sz w:val="24"/>
          <w:highlight w:val="white"/>
          <w:lang w:eastAsia="zh-CN"/>
        </w:rPr>
        <w:t>3</w:t>
      </w:r>
      <w:r>
        <w:rPr>
          <w:rFonts w:hint="eastAsia"/>
          <w:bCs/>
          <w:sz w:val="24"/>
          <w:highlight w:val="white"/>
          <w:lang w:eastAsia="zh-CN"/>
        </w:rPr>
        <w:t>个工作日内</w:t>
      </w:r>
      <w:r>
        <w:rPr>
          <w:bCs/>
          <w:sz w:val="24"/>
          <w:highlight w:val="white"/>
          <w:lang w:eastAsia="zh-CN"/>
        </w:rPr>
        <w:t>支付</w:t>
      </w:r>
      <w:r>
        <w:rPr>
          <w:rFonts w:hint="eastAsia"/>
          <w:bCs/>
          <w:sz w:val="24"/>
          <w:highlight w:val="white"/>
          <w:lang w:eastAsia="zh-CN"/>
        </w:rPr>
        <w:t>。若遇法定节假日、公休假等，支付日期顺延。</w:t>
      </w:r>
    </w:p>
    <w:p w:rsidR="00CB176C">
      <w:pPr>
        <w:snapToGrid w:val="0"/>
        <w:spacing w:after="156" w:afterLines="50" w:line="288" w:lineRule="auto"/>
        <w:ind w:firstLine="480" w:firstLineChars="200"/>
        <w:rPr>
          <w:bCs/>
          <w:sz w:val="24"/>
          <w:highlight w:val="white"/>
          <w:lang w:eastAsia="zh-CN"/>
        </w:rPr>
      </w:pPr>
      <w:r>
        <w:rPr>
          <w:rFonts w:hint="eastAsia"/>
          <w:bCs/>
          <w:sz w:val="24"/>
          <w:highlight w:val="white"/>
          <w:lang w:eastAsia="zh-CN"/>
        </w:rPr>
        <w:t>对于持续持有期限达到或超过一年的基金份额继续计提的销售服务费，在投资者赎回基金份额或基金合同终止时，随赎回款（或清算款）一并返还给投资者。</w:t>
      </w:r>
    </w:p>
    <w:p w:rsidR="00CB176C">
      <w:pPr>
        <w:spacing w:line="360" w:lineRule="auto"/>
        <w:ind w:firstLine="480"/>
        <w:rPr>
          <w:rFonts w:ascii="宋体" w:hAnsi="宋体"/>
          <w:bCs/>
          <w:sz w:val="24"/>
          <w:highlight w:val="white"/>
          <w:lang w:eastAsia="zh-CN"/>
        </w:rPr>
      </w:pPr>
      <w:r>
        <w:rPr>
          <w:rFonts w:ascii="宋体" w:hAnsi="宋体" w:hint="eastAsia"/>
          <w:bCs/>
          <w:sz w:val="24"/>
          <w:lang w:eastAsia="zh-CN"/>
        </w:rPr>
        <w:t>销售服务费计提后按规定收取或返还投资者的金额以登记机构的计算结果为准。</w:t>
      </w:r>
    </w:p>
    <w:bookmarkEnd w:id="122"/>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基金管理人应确保有足额头寸用于上述管理费、托管费和销售服务费的自动扣划（如适用），若因不可抗力或资金头寸不足致使无法按时支付的，基金托管人应及时通知基金管理人，基金管理人在不可抗力消除后或资金头寸充足后通知基金托管人在次一工作日进行支付。费用自动扣划后，基金管理人应进行核对，如发现数据不符，及时联系基金托管人协商解决。</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在首期支付基金管理费前，基金管理人应向基金托管人出具正式函件指定基金管理费的收款账户。基金管理人如需要变更此账户，应提前</w:t>
      </w:r>
      <w:r>
        <w:rPr>
          <w:rFonts w:ascii="宋体" w:hAnsi="宋体" w:cs="Arial" w:hint="eastAsia"/>
          <w:sz w:val="24"/>
          <w:highlight w:val="white"/>
          <w:lang w:eastAsia="zh-CN"/>
        </w:rPr>
        <w:t>5</w:t>
      </w:r>
      <w:r>
        <w:rPr>
          <w:rFonts w:ascii="宋体" w:hAnsi="宋体" w:cs="Arial" w:hint="eastAsia"/>
          <w:sz w:val="24"/>
          <w:highlight w:val="white"/>
          <w:lang w:eastAsia="zh-CN"/>
        </w:rPr>
        <w:t>个工作日向基金托管人出具书面的收款账户变更通知。</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（七）违规处理方式</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基金托管人发现基金管理人违反《基金法》、《运作办法》、基金合同、本托管协议及其他有关规定从基金财产中列支费用时，基金托管人可要求基金管理人予以说明解释，如基金管理人无正当理由，基金托管人可拒绝支付。</w:t>
      </w:r>
    </w:p>
    <w:p w:rsidR="00CB176C">
      <w:pPr>
        <w:snapToGrid w:val="0"/>
        <w:spacing w:after="156" w:afterLines="50" w:line="288" w:lineRule="auto"/>
        <w:ind w:firstLine="480" w:firstLineChars="200"/>
        <w:rPr>
          <w:rFonts w:ascii="宋体" w:hAnsi="宋体" w:cs="Arial"/>
          <w:bCs/>
          <w:sz w:val="24"/>
          <w:lang w:eastAsia="zh-CN"/>
        </w:rPr>
      </w:pPr>
      <w:bookmarkStart w:id="123" w:name="_Toc124325896"/>
      <w:r>
        <w:rPr>
          <w:rFonts w:ascii="宋体" w:hAnsi="宋体" w:cs="Arial" w:hint="eastAsia"/>
          <w:sz w:val="24"/>
          <w:highlight w:val="white"/>
          <w:lang w:eastAsia="zh-CN"/>
        </w:rPr>
        <w:t>（</w:t>
      </w:r>
      <w:r>
        <w:rPr>
          <w:rFonts w:ascii="宋体" w:hAnsi="宋体" w:cs="Arial"/>
          <w:sz w:val="24"/>
          <w:highlight w:val="white"/>
          <w:lang w:eastAsia="zh-CN"/>
        </w:rPr>
        <w:t>八</w:t>
      </w:r>
      <w:r>
        <w:rPr>
          <w:rFonts w:ascii="宋体" w:hAnsi="宋体" w:cs="Arial" w:hint="eastAsia"/>
          <w:sz w:val="24"/>
          <w:highlight w:val="white"/>
          <w:lang w:eastAsia="zh-CN"/>
        </w:rPr>
        <w:t>）</w:t>
      </w:r>
      <w:bookmarkStart w:id="124" w:name="_Hlk79100496"/>
      <w:r>
        <w:rPr>
          <w:rFonts w:ascii="宋体" w:hAnsi="宋体" w:cs="Arial"/>
          <w:sz w:val="24"/>
          <w:highlight w:val="white"/>
          <w:lang w:eastAsia="zh-CN"/>
        </w:rPr>
        <w:t>本基金运作过程中涉及的各纳税主体，其纳税义务按国家税收法律、法规</w:t>
      </w:r>
      <w:r>
        <w:rPr>
          <w:rFonts w:ascii="宋体" w:hAnsi="宋体" w:cs="Arial" w:hint="eastAsia"/>
          <w:sz w:val="24"/>
          <w:highlight w:val="white"/>
          <w:lang w:eastAsia="zh-CN"/>
        </w:rPr>
        <w:t>的规定</w:t>
      </w:r>
      <w:r>
        <w:rPr>
          <w:rFonts w:ascii="宋体" w:hAnsi="宋体" w:cs="Arial"/>
          <w:sz w:val="24"/>
          <w:highlight w:val="white"/>
          <w:lang w:eastAsia="zh-CN"/>
        </w:rPr>
        <w:t>执行。</w:t>
      </w:r>
      <w:r>
        <w:rPr>
          <w:rFonts w:ascii="宋体" w:hAnsi="宋体" w:cs="Arial"/>
          <w:bCs/>
          <w:sz w:val="24"/>
          <w:highlight w:val="white"/>
          <w:lang w:eastAsia="zh-CN"/>
        </w:rPr>
        <w:t>基金财产投资的相关税收，由基金份额持有人承担，基金管理人或者其他扣缴义务人按照国家有关税收征收的规定代扣代缴。</w:t>
      </w:r>
    </w:p>
    <w:p w:rsidR="00CB176C">
      <w:pPr>
        <w:snapToGrid w:val="0"/>
        <w:spacing w:after="156" w:afterLines="50" w:line="288" w:lineRule="auto"/>
        <w:ind w:firstLine="480" w:firstLineChars="200"/>
        <w:rPr>
          <w:rFonts w:ascii="宋体" w:hAnsi="宋体" w:cs="Arial"/>
          <w:bCs/>
          <w:sz w:val="24"/>
          <w:lang w:eastAsia="zh-CN"/>
        </w:rPr>
      </w:pPr>
      <w:r>
        <w:rPr>
          <w:rFonts w:ascii="宋体" w:hAnsi="宋体" w:cs="Arial" w:hint="eastAsia"/>
          <w:bCs/>
          <w:sz w:val="24"/>
          <w:highlight w:val="white"/>
          <w:lang w:eastAsia="zh-CN"/>
        </w:rPr>
        <w:t>基金管理人对最终税务处理的真实准确负责。</w:t>
      </w:r>
    </w:p>
    <w:p w:rsidR="00CB176C">
      <w:pPr>
        <w:snapToGrid w:val="0"/>
        <w:spacing w:after="156" w:afterLines="50" w:line="288" w:lineRule="auto"/>
        <w:ind w:firstLine="480" w:firstLineChars="200"/>
        <w:rPr>
          <w:rFonts w:ascii="宋体" w:hAnsi="宋体" w:cs="Arial"/>
          <w:bCs/>
          <w:sz w:val="24"/>
          <w:lang w:eastAsia="zh-CN"/>
        </w:rPr>
      </w:pPr>
      <w:r>
        <w:rPr>
          <w:rFonts w:ascii="宋体" w:hAnsi="宋体" w:cs="Arial" w:hint="eastAsia"/>
          <w:bCs/>
          <w:sz w:val="24"/>
          <w:highlight w:val="white"/>
          <w:lang w:eastAsia="zh-CN"/>
        </w:rPr>
        <w:t>除因基金管理人或基金托管人疏忽、故意行为导致的基金在税收方面造成的损失外，</w:t>
      </w:r>
      <w:r>
        <w:rPr>
          <w:rFonts w:ascii="宋体" w:hAnsi="宋体" w:cs="Arial" w:hint="eastAsia"/>
          <w:bCs/>
          <w:sz w:val="24"/>
          <w:highlight w:val="white"/>
          <w:lang w:eastAsia="zh-CN"/>
        </w:rPr>
        <w:t>基金管理人和基金托管人不承担责任。</w:t>
      </w:r>
    </w:p>
    <w:p w:rsidR="00CB176C">
      <w:pPr>
        <w:pStyle w:val="Heading2"/>
        <w:spacing w:before="0" w:after="156" w:afterLines="50" w:line="288" w:lineRule="auto"/>
        <w:jc w:val="center"/>
        <w:rPr>
          <w:rFonts w:ascii="宋体" w:eastAsia="宋体" w:hAnsi="宋体"/>
          <w:sz w:val="30"/>
          <w:lang w:eastAsia="zh-CN"/>
        </w:rPr>
      </w:pPr>
      <w:bookmarkStart w:id="125" w:name="_Toc205489774"/>
      <w:bookmarkEnd w:id="124"/>
      <w:r>
        <w:rPr>
          <w:rFonts w:ascii="宋体" w:eastAsia="宋体" w:hAnsi="宋体" w:hint="eastAsia"/>
          <w:sz w:val="30"/>
          <w:highlight w:val="white"/>
          <w:lang w:eastAsia="zh-CN"/>
        </w:rPr>
        <w:t>十三、基金份额持有人名册的保管</w:t>
      </w:r>
      <w:bookmarkEnd w:id="123"/>
      <w:bookmarkEnd w:id="125"/>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基金份额持有人名册至少应包括基金份额持有人的名称和持有的基金份额。基金份额持有人名册由登记机构根据基金管理人的指令编制和保管，保存期自基金账户销户之日起不少于</w:t>
      </w:r>
      <w:r>
        <w:rPr>
          <w:rFonts w:ascii="宋体" w:hAnsi="宋体" w:cs="Arial" w:hint="eastAsia"/>
          <w:sz w:val="24"/>
          <w:highlight w:val="white"/>
          <w:lang w:eastAsia="zh-CN"/>
        </w:rPr>
        <w:t>20</w:t>
      </w:r>
      <w:r>
        <w:rPr>
          <w:rFonts w:ascii="宋体" w:hAnsi="宋体" w:cs="Arial" w:hint="eastAsia"/>
          <w:sz w:val="24"/>
          <w:highlight w:val="white"/>
          <w:lang w:eastAsia="zh-CN"/>
        </w:rPr>
        <w:t>年。基金管理人应保管基金份额持有人名册，保存期不少于法律法规规定的最低年限。如不能妥善保管，则按相关法规承担责任。</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在基金托管人要求或编制中期报告和年度报告前，基金管理人应将有关资料送交基金托管人，不得无故拒绝或延误提供，并保证其真实性、准确性和完整性。基金托管人不得将所保管的基金</w:t>
      </w:r>
      <w:r>
        <w:rPr>
          <w:rFonts w:ascii="宋体" w:hAnsi="宋体" w:cs="Arial" w:hint="eastAsia"/>
          <w:sz w:val="24"/>
          <w:highlight w:val="white"/>
          <w:lang w:eastAsia="zh-CN"/>
        </w:rPr>
        <w:t>份额持有人名册用于基金托管业务以外的其他用途，并应遵守保密义务。</w:t>
      </w:r>
    </w:p>
    <w:p w:rsidR="00CB176C">
      <w:pPr>
        <w:pStyle w:val="Heading2"/>
        <w:spacing w:before="0" w:after="156" w:afterLines="50" w:line="288" w:lineRule="auto"/>
        <w:jc w:val="center"/>
        <w:rPr>
          <w:rFonts w:ascii="宋体" w:eastAsia="宋体" w:hAnsi="宋体"/>
          <w:sz w:val="30"/>
          <w:lang w:eastAsia="zh-CN"/>
        </w:rPr>
      </w:pPr>
      <w:bookmarkStart w:id="126" w:name="_Toc124325897"/>
      <w:bookmarkStart w:id="127" w:name="_Toc205489775"/>
      <w:r>
        <w:rPr>
          <w:rFonts w:ascii="宋体" w:eastAsia="宋体" w:hAnsi="宋体" w:hint="eastAsia"/>
          <w:sz w:val="30"/>
          <w:highlight w:val="white"/>
          <w:lang w:eastAsia="zh-CN"/>
        </w:rPr>
        <w:t>十四、基金有关文件档案的保存</w:t>
      </w:r>
      <w:bookmarkEnd w:id="126"/>
      <w:bookmarkEnd w:id="127"/>
    </w:p>
    <w:p w:rsidR="00CB176C">
      <w:pPr>
        <w:pStyle w:val="NormalIndent"/>
        <w:rPr>
          <w:lang w:eastAsia="zh-CN"/>
        </w:rPr>
      </w:pPr>
    </w:p>
    <w:p w:rsidR="00CB176C">
      <w:pPr>
        <w:snapToGrid w:val="0"/>
        <w:spacing w:after="156" w:afterLines="50" w:line="288" w:lineRule="auto"/>
        <w:ind w:firstLine="480" w:firstLineChars="200"/>
        <w:outlineLvl w:val="0"/>
        <w:rPr>
          <w:rFonts w:ascii="宋体" w:hAnsi="宋体" w:cs="Arial"/>
          <w:sz w:val="24"/>
          <w:lang w:eastAsia="zh-CN"/>
        </w:rPr>
      </w:pPr>
      <w:r>
        <w:rPr>
          <w:rFonts w:ascii="宋体" w:hAnsi="宋体" w:cs="Arial" w:hint="eastAsia"/>
          <w:sz w:val="24"/>
          <w:highlight w:val="white"/>
          <w:lang w:eastAsia="zh-CN"/>
        </w:rPr>
        <w:t>（一）档案保存</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法律法规规定的最低年限。</w:t>
      </w:r>
    </w:p>
    <w:p w:rsidR="00CB176C">
      <w:pPr>
        <w:snapToGrid w:val="0"/>
        <w:spacing w:after="156" w:afterLines="50" w:line="288" w:lineRule="auto"/>
        <w:ind w:firstLine="480" w:firstLineChars="200"/>
        <w:outlineLvl w:val="0"/>
        <w:rPr>
          <w:rFonts w:ascii="宋体" w:hAnsi="宋体" w:cs="Arial"/>
          <w:sz w:val="24"/>
          <w:lang w:eastAsia="zh-CN"/>
        </w:rPr>
      </w:pPr>
      <w:r>
        <w:rPr>
          <w:rFonts w:ascii="宋体" w:hAnsi="宋体" w:cs="Arial" w:hint="eastAsia"/>
          <w:sz w:val="24"/>
          <w:highlight w:val="white"/>
          <w:lang w:eastAsia="zh-CN"/>
        </w:rPr>
        <w:t>（二）合同档案的建立</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1.</w:t>
      </w:r>
      <w:r>
        <w:rPr>
          <w:rFonts w:ascii="宋体" w:hAnsi="宋体" w:cs="Arial" w:hint="eastAsia"/>
          <w:sz w:val="24"/>
          <w:highlight w:val="white"/>
          <w:lang w:eastAsia="zh-CN"/>
        </w:rPr>
        <w:t>基金管理人签署重大合同文本后，应及时将合同文本正本送达基金托管人处。</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2.</w:t>
      </w:r>
      <w:r>
        <w:rPr>
          <w:rFonts w:ascii="宋体" w:hAnsi="宋体" w:cs="Arial" w:hint="eastAsia"/>
          <w:sz w:val="24"/>
          <w:highlight w:val="white"/>
          <w:lang w:eastAsia="zh-CN"/>
        </w:rPr>
        <w:t>基金管理人应及时将与本基金账务处理、资金划拨等有关的合同、协议传真基金托管人</w:t>
      </w:r>
      <w:r>
        <w:rPr>
          <w:rFonts w:ascii="宋体" w:hAnsi="宋体" w:cs="Arial" w:hint="eastAsia"/>
          <w:sz w:val="24"/>
          <w:highlight w:val="white"/>
          <w:lang w:eastAsia="zh-CN"/>
        </w:rPr>
        <w:t>。</w:t>
      </w:r>
    </w:p>
    <w:p w:rsidR="00CB176C">
      <w:pPr>
        <w:snapToGrid w:val="0"/>
        <w:spacing w:after="156" w:afterLines="50" w:line="288" w:lineRule="auto"/>
        <w:ind w:firstLine="480" w:firstLineChars="200"/>
        <w:outlineLvl w:val="0"/>
        <w:rPr>
          <w:rFonts w:ascii="宋体" w:hAnsi="宋体" w:cs="Arial"/>
          <w:sz w:val="24"/>
          <w:lang w:eastAsia="zh-CN"/>
        </w:rPr>
      </w:pPr>
      <w:r>
        <w:rPr>
          <w:rFonts w:ascii="宋体" w:hAnsi="宋体" w:cs="Arial" w:hint="eastAsia"/>
          <w:sz w:val="24"/>
          <w:highlight w:val="white"/>
          <w:lang w:eastAsia="zh-CN"/>
        </w:rPr>
        <w:t>（三）变更与协助</w:t>
      </w:r>
    </w:p>
    <w:p w:rsidR="00CB176C">
      <w:pPr>
        <w:snapToGrid w:val="0"/>
        <w:spacing w:after="156" w:afterLines="50" w:line="288" w:lineRule="auto"/>
        <w:ind w:firstLine="480" w:firstLineChars="200"/>
        <w:rPr>
          <w:rFonts w:ascii="宋体" w:hAnsi="宋体"/>
          <w:b/>
          <w:bCs/>
          <w:sz w:val="30"/>
          <w:szCs w:val="30"/>
          <w:lang w:eastAsia="zh-CN"/>
        </w:rPr>
      </w:pPr>
      <w:r>
        <w:rPr>
          <w:rFonts w:ascii="宋体" w:hAnsi="宋体" w:cs="Arial" w:hint="eastAsia"/>
          <w:sz w:val="24"/>
          <w:highlight w:val="white"/>
          <w:lang w:eastAsia="zh-CN"/>
        </w:rPr>
        <w:t>若基金管理人</w:t>
      </w:r>
      <w:r>
        <w:rPr>
          <w:rFonts w:ascii="宋体" w:hAnsi="宋体" w:cs="Arial" w:hint="eastAsia"/>
          <w:sz w:val="24"/>
          <w:highlight w:val="white"/>
          <w:lang w:eastAsia="zh-CN"/>
        </w:rPr>
        <w:t>/</w:t>
      </w:r>
      <w:r>
        <w:rPr>
          <w:rFonts w:ascii="宋体" w:hAnsi="宋体" w:cs="Arial" w:hint="eastAsia"/>
          <w:sz w:val="24"/>
          <w:highlight w:val="white"/>
          <w:lang w:eastAsia="zh-CN"/>
        </w:rPr>
        <w:t>基金托管人发生变更，未变更的一方有义务协助变更后的接任人接收相应文件。</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（四）基金管理人和基金托管人应按各自职责完整保存原始凭证、记账凭证、基金账册、交易记录和重要合同等不少于法律法规规定的最低年限，并承担保密义务。</w:t>
      </w:r>
    </w:p>
    <w:p w:rsidR="00CB176C">
      <w:pPr>
        <w:pStyle w:val="Heading2"/>
        <w:spacing w:before="0" w:after="156" w:afterLines="50" w:line="288" w:lineRule="auto"/>
        <w:jc w:val="center"/>
        <w:rPr>
          <w:rFonts w:ascii="宋体" w:eastAsia="宋体" w:hAnsi="宋体"/>
          <w:sz w:val="30"/>
          <w:lang w:eastAsia="zh-CN"/>
        </w:rPr>
      </w:pPr>
      <w:bookmarkStart w:id="128" w:name="_Toc205489776"/>
      <w:bookmarkStart w:id="129" w:name="_Toc124325898"/>
      <w:r>
        <w:rPr>
          <w:rFonts w:ascii="宋体" w:eastAsia="宋体" w:hAnsi="宋体" w:hint="eastAsia"/>
          <w:sz w:val="30"/>
          <w:highlight w:val="white"/>
          <w:lang w:eastAsia="zh-CN"/>
        </w:rPr>
        <w:t>十五、基金管理人和基金托管人的更换</w:t>
      </w:r>
      <w:bookmarkEnd w:id="128"/>
      <w:bookmarkEnd w:id="129"/>
    </w:p>
    <w:p w:rsidR="00CB176C">
      <w:pPr>
        <w:pStyle w:val="NormalIndent"/>
        <w:rPr>
          <w:lang w:eastAsia="zh-CN"/>
        </w:rPr>
      </w:pP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（一）基金管理人职责终止的情形</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1.</w:t>
      </w:r>
      <w:r>
        <w:rPr>
          <w:rFonts w:ascii="宋体" w:hAnsi="宋体" w:cs="Arial" w:hint="eastAsia"/>
          <w:sz w:val="24"/>
          <w:highlight w:val="white"/>
          <w:lang w:eastAsia="zh-CN"/>
        </w:rPr>
        <w:t>基金管理人职责终止的情形</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有下列情形之一的，基金管理人职责终止：</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lang w:eastAsia="zh-CN"/>
        </w:rPr>
        <w:t>（</w:t>
      </w:r>
      <w:r>
        <w:rPr>
          <w:rFonts w:ascii="宋体" w:hAnsi="宋体" w:cs="Arial" w:hint="eastAsia"/>
          <w:sz w:val="24"/>
          <w:highlight w:val="white"/>
          <w:lang w:eastAsia="zh-CN"/>
        </w:rPr>
        <w:t>1</w:t>
      </w:r>
      <w:r>
        <w:rPr>
          <w:rFonts w:ascii="宋体" w:hAnsi="宋体" w:cs="Arial" w:hint="eastAsia"/>
          <w:sz w:val="24"/>
          <w:highlight w:val="white"/>
          <w:lang w:eastAsia="zh-CN"/>
        </w:rPr>
        <w:t>）被依法取消基金管理资格；</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lang w:eastAsia="zh-CN"/>
        </w:rPr>
        <w:t>（</w:t>
      </w:r>
      <w:r>
        <w:rPr>
          <w:rFonts w:ascii="宋体" w:hAnsi="宋体" w:cs="Arial" w:hint="eastAsia"/>
          <w:sz w:val="24"/>
          <w:highlight w:val="white"/>
          <w:lang w:eastAsia="zh-CN"/>
        </w:rPr>
        <w:t>2</w:t>
      </w:r>
      <w:r>
        <w:rPr>
          <w:rFonts w:ascii="宋体" w:hAnsi="宋体" w:cs="Arial" w:hint="eastAsia"/>
          <w:sz w:val="24"/>
          <w:highlight w:val="white"/>
          <w:lang w:eastAsia="zh-CN"/>
        </w:rPr>
        <w:t>）被基金份额持有人大会解任；</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lang w:eastAsia="zh-CN"/>
        </w:rPr>
        <w:t>（</w:t>
      </w:r>
      <w:r>
        <w:rPr>
          <w:rFonts w:ascii="宋体" w:hAnsi="宋体" w:cs="Arial" w:hint="eastAsia"/>
          <w:sz w:val="24"/>
          <w:highlight w:val="white"/>
          <w:lang w:eastAsia="zh-CN"/>
        </w:rPr>
        <w:t>3</w:t>
      </w:r>
      <w:r>
        <w:rPr>
          <w:rFonts w:ascii="宋体" w:hAnsi="宋体" w:cs="Arial" w:hint="eastAsia"/>
          <w:sz w:val="24"/>
          <w:highlight w:val="white"/>
          <w:lang w:eastAsia="zh-CN"/>
        </w:rPr>
        <w:t>）依法解散、被依法撤销或被依法宣告破产；</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lang w:eastAsia="zh-CN"/>
        </w:rPr>
        <w:t>（</w:t>
      </w:r>
      <w:r>
        <w:rPr>
          <w:rFonts w:ascii="宋体" w:hAnsi="宋体" w:cs="Arial" w:hint="eastAsia"/>
          <w:sz w:val="24"/>
          <w:highlight w:val="white"/>
          <w:lang w:eastAsia="zh-CN"/>
        </w:rPr>
        <w:t>4</w:t>
      </w:r>
      <w:r>
        <w:rPr>
          <w:rFonts w:ascii="宋体" w:hAnsi="宋体" w:cs="Arial" w:hint="eastAsia"/>
          <w:sz w:val="24"/>
          <w:highlight w:val="white"/>
          <w:lang w:eastAsia="zh-CN"/>
        </w:rPr>
        <w:t>）法律法规及中国证监会规定的和《基金合同》约定的其他情形。</w:t>
      </w:r>
    </w:p>
    <w:p w:rsidR="00CB176C">
      <w:pPr>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2.</w:t>
      </w:r>
      <w:r>
        <w:rPr>
          <w:rFonts w:ascii="宋体" w:hAnsi="宋体" w:cs="Arial" w:hint="eastAsia"/>
          <w:sz w:val="24"/>
          <w:highlight w:val="white"/>
          <w:lang w:eastAsia="zh-CN"/>
        </w:rPr>
        <w:t>基金管理人的更换程序</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lang w:eastAsia="zh-CN"/>
        </w:rPr>
        <w:t>（</w:t>
      </w:r>
      <w:r>
        <w:rPr>
          <w:rFonts w:ascii="宋体" w:hAnsi="宋体" w:cs="Arial" w:hint="eastAsia"/>
          <w:sz w:val="24"/>
          <w:highlight w:val="white"/>
          <w:lang w:eastAsia="zh-CN"/>
        </w:rPr>
        <w:t>1</w:t>
      </w:r>
      <w:r>
        <w:rPr>
          <w:rFonts w:ascii="宋体" w:hAnsi="宋体" w:cs="Arial" w:hint="eastAsia"/>
          <w:sz w:val="24"/>
          <w:highlight w:val="white"/>
          <w:lang w:eastAsia="zh-CN"/>
        </w:rPr>
        <w:t>）提名：新任基金管理人由基金托管人或由单独或合计持有</w:t>
      </w:r>
      <w:r>
        <w:rPr>
          <w:rFonts w:ascii="宋体" w:hAnsi="宋体" w:cs="Arial" w:hint="eastAsia"/>
          <w:sz w:val="24"/>
          <w:highlight w:val="white"/>
          <w:lang w:eastAsia="zh-CN"/>
        </w:rPr>
        <w:t>10%</w:t>
      </w:r>
      <w:r>
        <w:rPr>
          <w:rFonts w:ascii="宋体" w:hAnsi="宋体" w:cs="Arial" w:hint="eastAsia"/>
          <w:sz w:val="24"/>
          <w:highlight w:val="white"/>
          <w:lang w:eastAsia="zh-CN"/>
        </w:rPr>
        <w:t>以上（含</w:t>
      </w:r>
      <w:r>
        <w:rPr>
          <w:rFonts w:ascii="宋体" w:hAnsi="宋体" w:cs="Arial" w:hint="eastAsia"/>
          <w:sz w:val="24"/>
          <w:highlight w:val="white"/>
          <w:lang w:eastAsia="zh-CN"/>
        </w:rPr>
        <w:t>10%</w:t>
      </w:r>
      <w:r>
        <w:rPr>
          <w:rFonts w:ascii="宋体" w:hAnsi="宋体" w:cs="Arial" w:hint="eastAsia"/>
          <w:sz w:val="24"/>
          <w:highlight w:val="white"/>
          <w:lang w:eastAsia="zh-CN"/>
        </w:rPr>
        <w:t>）基金份额的基金份额持有人提名；</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lang w:eastAsia="zh-CN"/>
        </w:rPr>
        <w:t>（</w:t>
      </w:r>
      <w:r>
        <w:rPr>
          <w:rFonts w:ascii="宋体" w:hAnsi="宋体" w:cs="Arial" w:hint="eastAsia"/>
          <w:sz w:val="24"/>
          <w:highlight w:val="white"/>
          <w:lang w:eastAsia="zh-CN"/>
        </w:rPr>
        <w:t>2</w:t>
      </w:r>
      <w:r>
        <w:rPr>
          <w:rFonts w:ascii="宋体" w:hAnsi="宋体" w:cs="Arial" w:hint="eastAsia"/>
          <w:sz w:val="24"/>
          <w:highlight w:val="white"/>
          <w:lang w:eastAsia="zh-CN"/>
        </w:rPr>
        <w:t>）决议：基金份额持有人大会在基金管理人职责终止后</w:t>
      </w:r>
      <w:r>
        <w:rPr>
          <w:rFonts w:ascii="宋体" w:hAnsi="宋体" w:cs="Arial" w:hint="eastAsia"/>
          <w:sz w:val="24"/>
          <w:highlight w:val="white"/>
          <w:lang w:eastAsia="zh-CN"/>
        </w:rPr>
        <w:t>6</w:t>
      </w:r>
      <w:r>
        <w:rPr>
          <w:rFonts w:ascii="宋体" w:hAnsi="宋体" w:cs="Arial" w:hint="eastAsia"/>
          <w:sz w:val="24"/>
          <w:highlight w:val="white"/>
          <w:lang w:eastAsia="zh-CN"/>
        </w:rPr>
        <w:t>个月内对被提名的基金管理人形成决议，该决议需经参加大会的基金份额持有人所持表决权的三分之二以上（含三分之二）表决通过，决议自表决通过之日起生效；</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lang w:eastAsia="zh-CN"/>
        </w:rPr>
        <w:t>（</w:t>
      </w:r>
      <w:r>
        <w:rPr>
          <w:rFonts w:ascii="宋体" w:hAnsi="宋体" w:cs="Arial" w:hint="eastAsia"/>
          <w:sz w:val="24"/>
          <w:highlight w:val="white"/>
          <w:lang w:eastAsia="zh-CN"/>
        </w:rPr>
        <w:t>3</w:t>
      </w:r>
      <w:r>
        <w:rPr>
          <w:rFonts w:ascii="宋体" w:hAnsi="宋体" w:cs="Arial" w:hint="eastAsia"/>
          <w:sz w:val="24"/>
          <w:highlight w:val="white"/>
          <w:lang w:eastAsia="zh-CN"/>
        </w:rPr>
        <w:t>）临时基金管理人：新任基金管理人产生之前，由中国证监会指定临时基金管理人；</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lang w:eastAsia="zh-CN"/>
        </w:rPr>
        <w:t>（</w:t>
      </w:r>
      <w:r>
        <w:rPr>
          <w:rFonts w:ascii="宋体" w:hAnsi="宋体" w:cs="Arial" w:hint="eastAsia"/>
          <w:sz w:val="24"/>
          <w:highlight w:val="white"/>
          <w:lang w:eastAsia="zh-CN"/>
        </w:rPr>
        <w:t>4</w:t>
      </w:r>
      <w:r>
        <w:rPr>
          <w:rFonts w:ascii="宋体" w:hAnsi="宋体" w:cs="Arial" w:hint="eastAsia"/>
          <w:sz w:val="24"/>
          <w:highlight w:val="white"/>
          <w:lang w:eastAsia="zh-CN"/>
        </w:rPr>
        <w:t>）备案：基金份额持有人大会更换基</w:t>
      </w:r>
      <w:r>
        <w:rPr>
          <w:rFonts w:ascii="宋体" w:hAnsi="宋体" w:cs="Arial" w:hint="eastAsia"/>
          <w:sz w:val="24"/>
          <w:highlight w:val="white"/>
          <w:lang w:eastAsia="zh-CN"/>
        </w:rPr>
        <w:t>金管理人的决议须报中国证监会备案；</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lang w:eastAsia="zh-CN"/>
        </w:rPr>
        <w:t>（</w:t>
      </w:r>
      <w:r>
        <w:rPr>
          <w:rFonts w:ascii="宋体" w:hAnsi="宋体" w:cs="Arial" w:hint="eastAsia"/>
          <w:sz w:val="24"/>
          <w:highlight w:val="white"/>
          <w:lang w:eastAsia="zh-CN"/>
        </w:rPr>
        <w:t>5</w:t>
      </w:r>
      <w:r>
        <w:rPr>
          <w:rFonts w:ascii="宋体" w:hAnsi="宋体" w:cs="Arial" w:hint="eastAsia"/>
          <w:sz w:val="24"/>
          <w:highlight w:val="white"/>
          <w:lang w:eastAsia="zh-CN"/>
        </w:rPr>
        <w:t>）公告：基金管理人更换后，由基金托管人在更换基金管理人的基金份额持有人大会决议生效后</w:t>
      </w:r>
      <w:r>
        <w:rPr>
          <w:rFonts w:ascii="宋体" w:hAnsi="宋体" w:cs="Arial" w:hint="eastAsia"/>
          <w:sz w:val="24"/>
          <w:highlight w:val="white"/>
          <w:lang w:eastAsia="zh-CN"/>
        </w:rPr>
        <w:t>2</w:t>
      </w:r>
      <w:r>
        <w:rPr>
          <w:rFonts w:ascii="宋体" w:hAnsi="宋体" w:cs="Arial" w:hint="eastAsia"/>
          <w:sz w:val="24"/>
          <w:highlight w:val="white"/>
          <w:lang w:eastAsia="zh-CN"/>
        </w:rPr>
        <w:t>日内在规定媒介公告；</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lang w:eastAsia="zh-CN"/>
        </w:rPr>
        <w:t>（</w:t>
      </w:r>
      <w:r>
        <w:rPr>
          <w:rFonts w:ascii="宋体" w:hAnsi="宋体" w:cs="Arial" w:hint="eastAsia"/>
          <w:sz w:val="24"/>
          <w:highlight w:val="white"/>
          <w:lang w:eastAsia="zh-CN"/>
        </w:rPr>
        <w:t>6</w:t>
      </w:r>
      <w:r>
        <w:rPr>
          <w:rFonts w:ascii="宋体" w:hAnsi="宋体" w:cs="Arial" w:hint="eastAsia"/>
          <w:sz w:val="24"/>
          <w:highlight w:val="white"/>
          <w:lang w:eastAsia="zh-CN"/>
        </w:rPr>
        <w:t>）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lang w:eastAsia="zh-CN"/>
        </w:rPr>
        <w:t>（</w:t>
      </w:r>
      <w:r>
        <w:rPr>
          <w:rFonts w:ascii="宋体" w:hAnsi="宋体" w:cs="Arial" w:hint="eastAsia"/>
          <w:sz w:val="24"/>
          <w:highlight w:val="white"/>
          <w:lang w:eastAsia="zh-CN"/>
        </w:rPr>
        <w:t>7</w:t>
      </w:r>
      <w:r>
        <w:rPr>
          <w:rFonts w:ascii="宋体" w:hAnsi="宋体" w:cs="Arial" w:hint="eastAsia"/>
          <w:sz w:val="24"/>
          <w:highlight w:val="white"/>
          <w:lang w:eastAsia="zh-CN"/>
        </w:rPr>
        <w:t>）审计：基金管理人职责终止的，应当按照法律法规规定聘请会计师事务所对基金财产进行审计，并将审计结果予以公告，同时报中国证监会备案。审计</w:t>
      </w:r>
      <w:r>
        <w:rPr>
          <w:rFonts w:ascii="宋体" w:hAnsi="宋体" w:cs="Arial" w:hint="eastAsia"/>
          <w:sz w:val="24"/>
          <w:highlight w:val="white"/>
          <w:lang w:eastAsia="zh-CN"/>
        </w:rPr>
        <w:t>费用从基金财产中列支；</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lang w:eastAsia="zh-CN"/>
        </w:rPr>
        <w:t>（</w:t>
      </w:r>
      <w:r>
        <w:rPr>
          <w:rFonts w:ascii="宋体" w:hAnsi="宋体" w:cs="Arial" w:hint="eastAsia"/>
          <w:sz w:val="24"/>
          <w:highlight w:val="white"/>
          <w:lang w:eastAsia="zh-CN"/>
        </w:rPr>
        <w:t>8</w:t>
      </w:r>
      <w:r>
        <w:rPr>
          <w:rFonts w:ascii="宋体" w:hAnsi="宋体" w:cs="Arial" w:hint="eastAsia"/>
          <w:sz w:val="24"/>
          <w:highlight w:val="white"/>
          <w:lang w:eastAsia="zh-CN"/>
        </w:rPr>
        <w:t>）基金名称变更：基金管理人更换后，如果原任或新任基金管理人要求，应按其要求替换或删除基金名称中与原基金管理人有关的名称字样。</w:t>
      </w:r>
    </w:p>
    <w:p w:rsidR="00CB176C">
      <w:pPr>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（二）基金托管人职责终止的情形</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1.</w:t>
      </w:r>
      <w:r>
        <w:rPr>
          <w:rFonts w:ascii="宋体" w:hAnsi="宋体" w:cs="Arial" w:hint="eastAsia"/>
          <w:sz w:val="24"/>
          <w:highlight w:val="white"/>
          <w:lang w:eastAsia="zh-CN"/>
        </w:rPr>
        <w:t>基金托管人职责终止的情形</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有下列情形之一的，基金托管人职责终止：</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lang w:eastAsia="zh-CN"/>
        </w:rPr>
        <w:t>（</w:t>
      </w:r>
      <w:r>
        <w:rPr>
          <w:rFonts w:ascii="宋体" w:hAnsi="宋体" w:cs="Arial" w:hint="eastAsia"/>
          <w:sz w:val="24"/>
          <w:highlight w:val="white"/>
          <w:lang w:eastAsia="zh-CN"/>
        </w:rPr>
        <w:t>1</w:t>
      </w:r>
      <w:r>
        <w:rPr>
          <w:rFonts w:ascii="宋体" w:hAnsi="宋体" w:cs="Arial" w:hint="eastAsia"/>
          <w:sz w:val="24"/>
          <w:highlight w:val="white"/>
          <w:lang w:eastAsia="zh-CN"/>
        </w:rPr>
        <w:t>）被依法取消基金托管资格；</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lang w:eastAsia="zh-CN"/>
        </w:rPr>
        <w:t>（</w:t>
      </w:r>
      <w:r>
        <w:rPr>
          <w:rFonts w:ascii="宋体" w:hAnsi="宋体" w:cs="Arial" w:hint="eastAsia"/>
          <w:sz w:val="24"/>
          <w:highlight w:val="white"/>
          <w:lang w:eastAsia="zh-CN"/>
        </w:rPr>
        <w:t>2</w:t>
      </w:r>
      <w:r>
        <w:rPr>
          <w:rFonts w:ascii="宋体" w:hAnsi="宋体" w:cs="Arial" w:hint="eastAsia"/>
          <w:sz w:val="24"/>
          <w:highlight w:val="white"/>
          <w:lang w:eastAsia="zh-CN"/>
        </w:rPr>
        <w:t>）被基金份额持有人大会解任；</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lang w:eastAsia="zh-CN"/>
        </w:rPr>
        <w:t>（</w:t>
      </w:r>
      <w:r>
        <w:rPr>
          <w:rFonts w:ascii="宋体" w:hAnsi="宋体" w:cs="Arial" w:hint="eastAsia"/>
          <w:sz w:val="24"/>
          <w:highlight w:val="white"/>
          <w:lang w:eastAsia="zh-CN"/>
        </w:rPr>
        <w:t>3</w:t>
      </w:r>
      <w:r>
        <w:rPr>
          <w:rFonts w:ascii="宋体" w:hAnsi="宋体" w:cs="Arial" w:hint="eastAsia"/>
          <w:sz w:val="24"/>
          <w:highlight w:val="white"/>
          <w:lang w:eastAsia="zh-CN"/>
        </w:rPr>
        <w:t>）依法解散、被依法撤销或被依法宣告破产；</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lang w:eastAsia="zh-CN"/>
        </w:rPr>
        <w:t>（</w:t>
      </w:r>
      <w:r>
        <w:rPr>
          <w:rFonts w:ascii="宋体" w:hAnsi="宋体" w:cs="Arial" w:hint="eastAsia"/>
          <w:sz w:val="24"/>
          <w:highlight w:val="white"/>
          <w:lang w:eastAsia="zh-CN"/>
        </w:rPr>
        <w:t>4</w:t>
      </w:r>
      <w:r>
        <w:rPr>
          <w:rFonts w:ascii="宋体" w:hAnsi="宋体" w:cs="Arial" w:hint="eastAsia"/>
          <w:sz w:val="24"/>
          <w:highlight w:val="white"/>
          <w:lang w:eastAsia="zh-CN"/>
        </w:rPr>
        <w:t>）法律法规及中国证监会规定的和《基金合同》约定的其他情形。</w:t>
      </w:r>
    </w:p>
    <w:p w:rsidR="00CB176C">
      <w:pPr>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2.</w:t>
      </w:r>
      <w:r>
        <w:rPr>
          <w:rFonts w:ascii="宋体" w:hAnsi="宋体" w:cs="Arial" w:hint="eastAsia"/>
          <w:sz w:val="24"/>
          <w:highlight w:val="white"/>
          <w:lang w:eastAsia="zh-CN"/>
        </w:rPr>
        <w:t>基金托管人的更换程序</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lang w:eastAsia="zh-CN"/>
        </w:rPr>
        <w:t>（</w:t>
      </w:r>
      <w:r>
        <w:rPr>
          <w:rFonts w:ascii="宋体" w:hAnsi="宋体" w:cs="Arial" w:hint="eastAsia"/>
          <w:sz w:val="24"/>
          <w:highlight w:val="white"/>
          <w:lang w:eastAsia="zh-CN"/>
        </w:rPr>
        <w:t>1</w:t>
      </w:r>
      <w:r>
        <w:rPr>
          <w:rFonts w:ascii="宋体" w:hAnsi="宋体" w:cs="Arial" w:hint="eastAsia"/>
          <w:sz w:val="24"/>
          <w:lang w:eastAsia="zh-CN"/>
        </w:rPr>
        <w:t>）</w:t>
      </w:r>
      <w:r>
        <w:rPr>
          <w:rFonts w:ascii="宋体" w:hAnsi="宋体" w:cs="Arial" w:hint="eastAsia"/>
          <w:sz w:val="24"/>
          <w:highlight w:val="white"/>
          <w:lang w:eastAsia="zh-CN"/>
        </w:rPr>
        <w:t>提名：新任基金托管人由基金管理人或由单独或合计持有</w:t>
      </w:r>
      <w:r>
        <w:rPr>
          <w:rFonts w:ascii="宋体" w:hAnsi="宋体" w:cs="Arial" w:hint="eastAsia"/>
          <w:sz w:val="24"/>
          <w:highlight w:val="white"/>
          <w:lang w:eastAsia="zh-CN"/>
        </w:rPr>
        <w:t>10%</w:t>
      </w:r>
      <w:r>
        <w:rPr>
          <w:rFonts w:ascii="宋体" w:hAnsi="宋体" w:cs="Arial" w:hint="eastAsia"/>
          <w:sz w:val="24"/>
          <w:highlight w:val="white"/>
          <w:lang w:eastAsia="zh-CN"/>
        </w:rPr>
        <w:t>以上（含</w:t>
      </w:r>
      <w:r>
        <w:rPr>
          <w:rFonts w:ascii="宋体" w:hAnsi="宋体" w:cs="Arial" w:hint="eastAsia"/>
          <w:sz w:val="24"/>
          <w:highlight w:val="white"/>
          <w:lang w:eastAsia="zh-CN"/>
        </w:rPr>
        <w:t>10%</w:t>
      </w:r>
      <w:r>
        <w:rPr>
          <w:rFonts w:ascii="宋体" w:hAnsi="宋体" w:cs="Arial" w:hint="eastAsia"/>
          <w:sz w:val="24"/>
          <w:highlight w:val="white"/>
          <w:lang w:eastAsia="zh-CN"/>
        </w:rPr>
        <w:t>）基金份额的基金份额持有人提名；</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lang w:eastAsia="zh-CN"/>
        </w:rPr>
        <w:t>（</w:t>
      </w:r>
      <w:r>
        <w:rPr>
          <w:rFonts w:ascii="宋体" w:hAnsi="宋体" w:cs="Arial" w:hint="eastAsia"/>
          <w:sz w:val="24"/>
          <w:highlight w:val="white"/>
          <w:lang w:eastAsia="zh-CN"/>
        </w:rPr>
        <w:t>2</w:t>
      </w:r>
      <w:r>
        <w:rPr>
          <w:rFonts w:ascii="宋体" w:hAnsi="宋体" w:cs="Arial" w:hint="eastAsia"/>
          <w:sz w:val="24"/>
          <w:highlight w:val="white"/>
          <w:lang w:eastAsia="zh-CN"/>
        </w:rPr>
        <w:t>）决议：基金份额持有人大会在基金托管人职责终止后</w:t>
      </w:r>
      <w:r>
        <w:rPr>
          <w:rFonts w:ascii="宋体" w:hAnsi="宋体" w:cs="Arial" w:hint="eastAsia"/>
          <w:sz w:val="24"/>
          <w:highlight w:val="white"/>
          <w:lang w:eastAsia="zh-CN"/>
        </w:rPr>
        <w:t>6</w:t>
      </w:r>
      <w:r>
        <w:rPr>
          <w:rFonts w:ascii="宋体" w:hAnsi="宋体" w:cs="Arial" w:hint="eastAsia"/>
          <w:sz w:val="24"/>
          <w:highlight w:val="white"/>
          <w:lang w:eastAsia="zh-CN"/>
        </w:rPr>
        <w:t>个月内对被提名的基金托管人形成决议，该决议需经参加大会的基金份额持有人所持表决权的三分之二以上（含三分之二）表决通过，决议自表决通过之日起生效；</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lang w:eastAsia="zh-CN"/>
        </w:rPr>
        <w:t>（</w:t>
      </w:r>
      <w:r>
        <w:rPr>
          <w:rFonts w:ascii="宋体" w:hAnsi="宋体" w:cs="Arial" w:hint="eastAsia"/>
          <w:sz w:val="24"/>
          <w:highlight w:val="white"/>
          <w:lang w:eastAsia="zh-CN"/>
        </w:rPr>
        <w:t>3</w:t>
      </w:r>
      <w:r>
        <w:rPr>
          <w:rFonts w:ascii="宋体" w:hAnsi="宋体" w:cs="Arial" w:hint="eastAsia"/>
          <w:sz w:val="24"/>
          <w:highlight w:val="white"/>
          <w:lang w:eastAsia="zh-CN"/>
        </w:rPr>
        <w:t>）临时基金托管人：新任基金托管人产生之前，由中国证监会指定临时基金托管人；</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lang w:eastAsia="zh-CN"/>
        </w:rPr>
        <w:t>（</w:t>
      </w:r>
      <w:r>
        <w:rPr>
          <w:rFonts w:ascii="宋体" w:hAnsi="宋体" w:cs="Arial" w:hint="eastAsia"/>
          <w:sz w:val="24"/>
          <w:highlight w:val="white"/>
          <w:lang w:eastAsia="zh-CN"/>
        </w:rPr>
        <w:t>4</w:t>
      </w:r>
      <w:r>
        <w:rPr>
          <w:rFonts w:ascii="宋体" w:hAnsi="宋体" w:cs="Arial" w:hint="eastAsia"/>
          <w:sz w:val="24"/>
          <w:highlight w:val="white"/>
          <w:lang w:eastAsia="zh-CN"/>
        </w:rPr>
        <w:t>）备案：基金份额持有人大会更换基金托管人的决议须报中国证监会备案；</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lang w:eastAsia="zh-CN"/>
        </w:rPr>
        <w:t>（</w:t>
      </w:r>
      <w:r>
        <w:rPr>
          <w:rFonts w:ascii="宋体" w:hAnsi="宋体" w:cs="Arial" w:hint="eastAsia"/>
          <w:sz w:val="24"/>
          <w:highlight w:val="white"/>
          <w:lang w:eastAsia="zh-CN"/>
        </w:rPr>
        <w:t>5</w:t>
      </w:r>
      <w:r>
        <w:rPr>
          <w:rFonts w:ascii="宋体" w:hAnsi="宋体" w:cs="Arial" w:hint="eastAsia"/>
          <w:sz w:val="24"/>
          <w:highlight w:val="white"/>
          <w:lang w:eastAsia="zh-CN"/>
        </w:rPr>
        <w:t>）公告：基金托管人更换后，由基金管理人在更换基金托管人的基金份额持有人大会决议生效后</w:t>
      </w:r>
      <w:r>
        <w:rPr>
          <w:rFonts w:ascii="宋体" w:hAnsi="宋体" w:cs="Arial" w:hint="eastAsia"/>
          <w:sz w:val="24"/>
          <w:highlight w:val="white"/>
          <w:lang w:eastAsia="zh-CN"/>
        </w:rPr>
        <w:t>2</w:t>
      </w:r>
      <w:r>
        <w:rPr>
          <w:rFonts w:ascii="宋体" w:hAnsi="宋体" w:cs="Arial" w:hint="eastAsia"/>
          <w:sz w:val="24"/>
          <w:highlight w:val="white"/>
          <w:lang w:eastAsia="zh-CN"/>
        </w:rPr>
        <w:t>日内在规定媒介公告；</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lang w:eastAsia="zh-CN"/>
        </w:rPr>
        <w:t>（</w:t>
      </w:r>
      <w:r>
        <w:rPr>
          <w:rFonts w:ascii="宋体" w:hAnsi="宋体" w:cs="Arial" w:hint="eastAsia"/>
          <w:sz w:val="24"/>
          <w:highlight w:val="white"/>
          <w:lang w:eastAsia="zh-CN"/>
        </w:rPr>
        <w:t>6</w:t>
      </w:r>
      <w:r>
        <w:rPr>
          <w:rFonts w:ascii="宋体" w:hAnsi="宋体" w:cs="Arial" w:hint="eastAsia"/>
          <w:sz w:val="24"/>
          <w:highlight w:val="white"/>
          <w:lang w:eastAsia="zh-CN"/>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lang w:eastAsia="zh-CN"/>
        </w:rPr>
        <w:t>（</w:t>
      </w:r>
      <w:r>
        <w:rPr>
          <w:rFonts w:ascii="宋体" w:hAnsi="宋体" w:cs="Arial" w:hint="eastAsia"/>
          <w:sz w:val="24"/>
          <w:highlight w:val="white"/>
          <w:lang w:eastAsia="zh-CN"/>
        </w:rPr>
        <w:t>7</w:t>
      </w:r>
      <w:r>
        <w:rPr>
          <w:rFonts w:ascii="宋体" w:hAnsi="宋体" w:cs="Arial" w:hint="eastAsia"/>
          <w:sz w:val="24"/>
          <w:highlight w:val="white"/>
          <w:lang w:eastAsia="zh-CN"/>
        </w:rPr>
        <w:t>）审计：基金托管人职责终止的，应当按照法律法规规定聘请会计师事务所对基金财产进行审计，并将审计结果予以公告，同时报中国证监会备案。审计费用从基金财产中列支。</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（三）基金管理人与基金托管人同时更</w:t>
      </w:r>
      <w:r>
        <w:rPr>
          <w:rFonts w:ascii="宋体" w:hAnsi="宋体" w:cs="Arial" w:hint="eastAsia"/>
          <w:sz w:val="24"/>
          <w:highlight w:val="white"/>
          <w:lang w:eastAsia="zh-CN"/>
        </w:rPr>
        <w:t>换的条件和程序</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1.</w:t>
      </w:r>
      <w:r>
        <w:rPr>
          <w:rFonts w:ascii="宋体" w:hAnsi="宋体" w:cs="Arial" w:hint="eastAsia"/>
          <w:sz w:val="24"/>
          <w:highlight w:val="white"/>
          <w:lang w:eastAsia="zh-CN"/>
        </w:rPr>
        <w:t>提名：如果基金管理人和基金托管人同时更换，由单独或合计持有基金总份额</w:t>
      </w:r>
      <w:r>
        <w:rPr>
          <w:rFonts w:ascii="宋体" w:hAnsi="宋体" w:cs="Arial" w:hint="eastAsia"/>
          <w:sz w:val="24"/>
          <w:highlight w:val="white"/>
          <w:lang w:eastAsia="zh-CN"/>
        </w:rPr>
        <w:t>10%</w:t>
      </w:r>
      <w:r>
        <w:rPr>
          <w:rFonts w:ascii="宋体" w:hAnsi="宋体" w:cs="Arial" w:hint="eastAsia"/>
          <w:sz w:val="24"/>
          <w:highlight w:val="white"/>
          <w:lang w:eastAsia="zh-CN"/>
        </w:rPr>
        <w:t>以上（含</w:t>
      </w:r>
      <w:r>
        <w:rPr>
          <w:rFonts w:ascii="宋体" w:hAnsi="宋体" w:cs="Arial" w:hint="eastAsia"/>
          <w:sz w:val="24"/>
          <w:highlight w:val="white"/>
          <w:lang w:eastAsia="zh-CN"/>
        </w:rPr>
        <w:t>10%</w:t>
      </w:r>
      <w:r>
        <w:rPr>
          <w:rFonts w:ascii="宋体" w:hAnsi="宋体" w:cs="Arial" w:hint="eastAsia"/>
          <w:sz w:val="24"/>
          <w:highlight w:val="white"/>
          <w:lang w:eastAsia="zh-CN"/>
        </w:rPr>
        <w:t>）的基金份额持有人提名新的基金管理人和基金托管人；</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2.</w:t>
      </w:r>
      <w:r>
        <w:rPr>
          <w:rFonts w:ascii="宋体" w:hAnsi="宋体" w:cs="Arial" w:hint="eastAsia"/>
          <w:sz w:val="24"/>
          <w:highlight w:val="white"/>
          <w:lang w:eastAsia="zh-CN"/>
        </w:rPr>
        <w:t>基金管理人和基金托管人的更换分别按上述程序进行；</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3.</w:t>
      </w:r>
      <w:r>
        <w:rPr>
          <w:rFonts w:ascii="宋体" w:hAnsi="宋体" w:cs="Arial" w:hint="eastAsia"/>
          <w:sz w:val="24"/>
          <w:highlight w:val="white"/>
          <w:lang w:eastAsia="zh-CN"/>
        </w:rPr>
        <w:t>公告：新任基金管理人和新任基金托管人应在更换基金管理人和基金托管人的基金份额持有人大会决议生效后</w:t>
      </w:r>
      <w:r>
        <w:rPr>
          <w:rFonts w:ascii="宋体" w:hAnsi="宋体" w:cs="Arial" w:hint="eastAsia"/>
          <w:sz w:val="24"/>
          <w:highlight w:val="white"/>
          <w:lang w:eastAsia="zh-CN"/>
        </w:rPr>
        <w:t>2</w:t>
      </w:r>
      <w:r>
        <w:rPr>
          <w:rFonts w:ascii="宋体" w:hAnsi="宋体" w:cs="Arial" w:hint="eastAsia"/>
          <w:sz w:val="24"/>
          <w:highlight w:val="white"/>
          <w:lang w:eastAsia="zh-CN"/>
        </w:rPr>
        <w:t>日内在规定媒介上联合公告。</w:t>
      </w:r>
    </w:p>
    <w:p w:rsidR="00CB176C">
      <w:pPr>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（四）</w:t>
      </w:r>
      <w:bookmarkStart w:id="130" w:name="_Hlk79100569"/>
      <w:r>
        <w:rPr>
          <w:rFonts w:ascii="宋体" w:hAnsi="宋体" w:cs="Arial" w:hint="eastAsia"/>
          <w:sz w:val="24"/>
          <w:highlight w:val="white"/>
          <w:lang w:eastAsia="zh-CN"/>
        </w:rPr>
        <w:t>新基金管理人或</w:t>
      </w:r>
      <w:r>
        <w:rPr>
          <w:rFonts w:ascii="宋体" w:hAnsi="宋体"/>
          <w:bCs/>
          <w:sz w:val="24"/>
          <w:highlight w:val="white"/>
          <w:lang w:eastAsia="zh-CN"/>
        </w:rPr>
        <w:t>临时基金管理人</w:t>
      </w:r>
      <w:r>
        <w:rPr>
          <w:rFonts w:ascii="宋体" w:hAnsi="宋体" w:cs="Arial" w:hint="eastAsia"/>
          <w:sz w:val="24"/>
          <w:highlight w:val="white"/>
          <w:lang w:eastAsia="zh-CN"/>
        </w:rPr>
        <w:t>接收基金管理业务或新基金托管人</w:t>
      </w:r>
      <w:r>
        <w:rPr>
          <w:rFonts w:ascii="宋体" w:hAnsi="宋体"/>
          <w:bCs/>
          <w:sz w:val="24"/>
          <w:highlight w:val="white"/>
          <w:lang w:eastAsia="zh-CN"/>
        </w:rPr>
        <w:t>或临时基金托管人</w:t>
      </w:r>
      <w:r>
        <w:rPr>
          <w:rFonts w:ascii="宋体" w:hAnsi="宋体" w:cs="Arial" w:hint="eastAsia"/>
          <w:sz w:val="24"/>
          <w:highlight w:val="white"/>
          <w:lang w:eastAsia="zh-CN"/>
        </w:rPr>
        <w:t>接收基金财产和基金托管业务前，原基金管理人或原基金托管人应继续履行相关职责，并保证不做出</w:t>
      </w:r>
      <w:r>
        <w:rPr>
          <w:rFonts w:ascii="宋体" w:hAnsi="宋体" w:cs="Arial" w:hint="eastAsia"/>
          <w:sz w:val="24"/>
          <w:highlight w:val="white"/>
          <w:lang w:eastAsia="zh-CN"/>
        </w:rPr>
        <w:t>对基金份额持有人的利益造成损害的行为。</w:t>
      </w:r>
      <w:bookmarkEnd w:id="130"/>
    </w:p>
    <w:p w:rsidR="00CB176C">
      <w:pPr>
        <w:pStyle w:val="Heading2"/>
        <w:spacing w:before="0" w:after="156" w:afterLines="50" w:line="288" w:lineRule="auto"/>
        <w:jc w:val="center"/>
        <w:rPr>
          <w:rFonts w:ascii="宋体" w:eastAsia="宋体" w:hAnsi="宋体"/>
          <w:sz w:val="30"/>
          <w:lang w:eastAsia="zh-CN"/>
        </w:rPr>
      </w:pPr>
      <w:bookmarkStart w:id="131" w:name="_Toc205489777"/>
      <w:bookmarkStart w:id="132" w:name="_Toc124325899"/>
      <w:r>
        <w:rPr>
          <w:rFonts w:ascii="宋体" w:eastAsia="宋体" w:hAnsi="宋体" w:hint="eastAsia"/>
          <w:sz w:val="30"/>
          <w:highlight w:val="white"/>
          <w:lang w:eastAsia="zh-CN"/>
        </w:rPr>
        <w:t>十六、禁止行为</w:t>
      </w:r>
      <w:bookmarkEnd w:id="131"/>
      <w:bookmarkEnd w:id="132"/>
    </w:p>
    <w:p w:rsidR="00CB176C">
      <w:pPr>
        <w:pStyle w:val="NormalIndent"/>
        <w:rPr>
          <w:lang w:eastAsia="zh-CN"/>
        </w:rPr>
      </w:pP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本托管协议当事人禁止从事的行为，包括但不限于：</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（一）基金管理人、基金托管人将其固有财产或者他人财产混同于基金财产从事证券投资。</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（二）基金管理人不公平地对待其管理的不同基金财产，基金托管人不公平地对待其托管的不同基金财产。</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（三）基金管理人、基金托管人利用基金财产为基金份额持有人以外的人牟取利益。</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（四）基金管理人、基金托管人向基金份额持有人违规承诺收益或者承担损失。</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（五）基金管理人、基金托管人对他人泄露基金运作和管理过程中任何尚未按法律法规规定</w:t>
      </w:r>
      <w:r>
        <w:rPr>
          <w:rFonts w:ascii="宋体" w:hAnsi="宋体" w:cs="Arial" w:hint="eastAsia"/>
          <w:sz w:val="24"/>
          <w:highlight w:val="white"/>
          <w:lang w:eastAsia="zh-CN"/>
        </w:rPr>
        <w:t>的方式公开披露的信息。</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（六）基金管理人在没有充足资金的情况下向基金托管人发出投资指令和赎回、分红资金的划拨指令，或违规向基金托管人发出指令。</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（七）基金管理人、基金托管人在行政上、财务上不独立</w:t>
      </w:r>
      <w:r>
        <w:rPr>
          <w:rFonts w:ascii="宋体" w:hAnsi="宋体" w:cs="Arial" w:hint="eastAsia"/>
          <w:sz w:val="24"/>
          <w:highlight w:val="white"/>
          <w:lang w:eastAsia="zh-CN"/>
        </w:rPr>
        <w:t xml:space="preserve">, </w:t>
      </w:r>
      <w:r>
        <w:rPr>
          <w:rFonts w:ascii="宋体" w:hAnsi="宋体" w:cs="Arial" w:hint="eastAsia"/>
          <w:sz w:val="24"/>
          <w:highlight w:val="white"/>
          <w:lang w:eastAsia="zh-CN"/>
        </w:rPr>
        <w:t>其高级管理人员和其他从业人员相互兼职。</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（八）基金托管人私自动用或处分基金财产，根据基金管理人的合法指令、基金合同或托管协议的规定进行处分的除外。</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（九）基金财产用于下列投资或者活动：</w:t>
      </w:r>
      <w:bookmarkStart w:id="133" w:name="_Hlk79100680"/>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1.</w:t>
      </w:r>
      <w:r>
        <w:rPr>
          <w:rFonts w:ascii="宋体" w:hAnsi="宋体" w:cs="Arial" w:hint="eastAsia"/>
          <w:sz w:val="24"/>
          <w:highlight w:val="white"/>
          <w:lang w:eastAsia="zh-CN"/>
        </w:rPr>
        <w:t>承销证券；</w:t>
      </w:r>
      <w:r>
        <w:rPr>
          <w:rFonts w:ascii="宋体" w:hAnsi="宋体" w:cs="Arial" w:hint="eastAsia"/>
          <w:sz w:val="24"/>
          <w:highlight w:val="white"/>
          <w:lang w:eastAsia="zh-CN"/>
        </w:rPr>
        <w:t>2.</w:t>
      </w:r>
      <w:r>
        <w:rPr>
          <w:rFonts w:ascii="宋体" w:hAnsi="宋体" w:cs="Arial" w:hint="eastAsia"/>
          <w:sz w:val="24"/>
          <w:highlight w:val="white"/>
          <w:lang w:eastAsia="zh-CN"/>
        </w:rPr>
        <w:t>违反规定向他人贷款或者提供担保；</w:t>
      </w:r>
      <w:r>
        <w:rPr>
          <w:rFonts w:ascii="宋体" w:hAnsi="宋体" w:cs="Arial" w:hint="eastAsia"/>
          <w:sz w:val="24"/>
          <w:highlight w:val="white"/>
          <w:lang w:eastAsia="zh-CN"/>
        </w:rPr>
        <w:t>3.</w:t>
      </w:r>
      <w:r>
        <w:rPr>
          <w:rFonts w:ascii="宋体" w:hAnsi="宋体" w:cs="Arial" w:hint="eastAsia"/>
          <w:sz w:val="24"/>
          <w:highlight w:val="white"/>
          <w:lang w:eastAsia="zh-CN"/>
        </w:rPr>
        <w:t>从事承担无限责任的投资；</w:t>
      </w:r>
      <w:r>
        <w:rPr>
          <w:rFonts w:ascii="宋体" w:hAnsi="宋体" w:cs="Arial" w:hint="eastAsia"/>
          <w:sz w:val="24"/>
          <w:highlight w:val="white"/>
          <w:lang w:eastAsia="zh-CN"/>
        </w:rPr>
        <w:t>4.</w:t>
      </w:r>
      <w:r>
        <w:rPr>
          <w:rFonts w:ascii="宋体" w:hAnsi="宋体" w:cs="Arial" w:hint="eastAsia"/>
          <w:sz w:val="24"/>
          <w:highlight w:val="white"/>
          <w:lang w:eastAsia="zh-CN"/>
        </w:rPr>
        <w:t>向其基金管理人、基金托管人出资；</w:t>
      </w:r>
      <w:r>
        <w:rPr>
          <w:rFonts w:ascii="宋体" w:hAnsi="宋体" w:cs="Arial" w:hint="eastAsia"/>
          <w:sz w:val="24"/>
          <w:highlight w:val="white"/>
          <w:lang w:eastAsia="zh-CN"/>
        </w:rPr>
        <w:t>5.</w:t>
      </w:r>
      <w:r>
        <w:rPr>
          <w:rFonts w:ascii="宋体" w:hAnsi="宋体" w:cs="Arial" w:hint="eastAsia"/>
          <w:sz w:val="24"/>
          <w:highlight w:val="white"/>
          <w:lang w:eastAsia="zh-CN"/>
        </w:rPr>
        <w:t>从事内幕交</w:t>
      </w:r>
      <w:r>
        <w:rPr>
          <w:rFonts w:ascii="宋体" w:hAnsi="宋体" w:cs="Arial" w:hint="eastAsia"/>
          <w:sz w:val="24"/>
          <w:highlight w:val="white"/>
          <w:lang w:eastAsia="zh-CN"/>
        </w:rPr>
        <w:t>易、操纵证券交易价格及其他不正当的证券交易活动；</w:t>
      </w:r>
      <w:r>
        <w:rPr>
          <w:rFonts w:ascii="宋体" w:hAnsi="宋体" w:cs="Arial" w:hint="eastAsia"/>
          <w:sz w:val="24"/>
          <w:highlight w:val="white"/>
          <w:lang w:eastAsia="zh-CN"/>
        </w:rPr>
        <w:t>6.</w:t>
      </w:r>
      <w:r>
        <w:rPr>
          <w:rFonts w:ascii="宋体" w:hAnsi="宋体" w:cs="Arial" w:hint="eastAsia"/>
          <w:sz w:val="24"/>
          <w:highlight w:val="white"/>
          <w:lang w:eastAsia="zh-CN"/>
        </w:rPr>
        <w:t>法律、行政法规和中国证监会规定禁止的其他活动。</w:t>
      </w:r>
      <w:bookmarkEnd w:id="133"/>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法律、行政法规或监管部门取消上述限制，本基金投资不再受相关限制。</w:t>
      </w:r>
    </w:p>
    <w:p w:rsidR="00CB176C">
      <w:pPr>
        <w:snapToGrid w:val="0"/>
        <w:spacing w:after="156" w:afterLines="50" w:line="288" w:lineRule="auto"/>
        <w:ind w:firstLine="480" w:firstLineChars="200"/>
        <w:outlineLvl w:val="0"/>
        <w:rPr>
          <w:rFonts w:ascii="宋体" w:hAnsi="宋体" w:cs="Arial"/>
          <w:sz w:val="24"/>
          <w:lang w:eastAsia="zh-CN"/>
        </w:rPr>
      </w:pPr>
      <w:r>
        <w:rPr>
          <w:rFonts w:ascii="宋体" w:hAnsi="宋体" w:cs="Arial" w:hint="eastAsia"/>
          <w:sz w:val="24"/>
          <w:highlight w:val="white"/>
          <w:lang w:eastAsia="zh-CN"/>
        </w:rPr>
        <w:t>（十）法律法规和基金合同禁止的其他行为，以及</w:t>
      </w:r>
      <w:r>
        <w:rPr>
          <w:rFonts w:ascii="宋体" w:hAnsi="宋体" w:hint="eastAsia"/>
          <w:sz w:val="24"/>
          <w:highlight w:val="white"/>
          <w:lang w:eastAsia="zh-CN"/>
        </w:rPr>
        <w:t>法律、行政法规和中国证监会规定禁止基金管理人、基金托管人从事的其他行为。</w:t>
      </w:r>
    </w:p>
    <w:p w:rsidR="00CB176C">
      <w:pPr>
        <w:pStyle w:val="Heading2"/>
        <w:spacing w:before="0" w:after="156" w:afterLines="50" w:line="288" w:lineRule="auto"/>
        <w:jc w:val="center"/>
        <w:rPr>
          <w:rFonts w:ascii="宋体" w:eastAsia="宋体" w:hAnsi="宋体"/>
          <w:sz w:val="30"/>
          <w:lang w:eastAsia="zh-CN"/>
        </w:rPr>
      </w:pPr>
      <w:bookmarkStart w:id="134" w:name="_Toc124325900"/>
      <w:bookmarkStart w:id="135" w:name="_Toc205489778"/>
      <w:r>
        <w:rPr>
          <w:rFonts w:ascii="宋体" w:eastAsia="宋体" w:hAnsi="宋体" w:hint="eastAsia"/>
          <w:sz w:val="30"/>
          <w:highlight w:val="white"/>
          <w:lang w:eastAsia="zh-CN"/>
        </w:rPr>
        <w:t>十七、托管协议的变更、终止与基金财产的清算</w:t>
      </w:r>
      <w:bookmarkEnd w:id="134"/>
      <w:bookmarkEnd w:id="135"/>
    </w:p>
    <w:p w:rsidR="00CB176C">
      <w:pPr>
        <w:pStyle w:val="NormalIndent"/>
        <w:rPr>
          <w:lang w:eastAsia="zh-CN"/>
        </w:rPr>
      </w:pP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（一）托管协议的变更程序</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本托管协议双方当事人经协商一致，可以对协议进行修改。修改后的新协议，其内容不得与基金合同的规定有任何冲突。</w:t>
      </w:r>
    </w:p>
    <w:p w:rsidR="00CB176C">
      <w:pPr>
        <w:snapToGrid w:val="0"/>
        <w:spacing w:after="156" w:afterLines="50" w:line="288" w:lineRule="auto"/>
        <w:ind w:firstLine="480" w:firstLineChars="200"/>
        <w:rPr>
          <w:rFonts w:ascii="宋体" w:hAnsi="宋体"/>
          <w:sz w:val="30"/>
          <w:szCs w:val="30"/>
          <w:lang w:eastAsia="zh-CN"/>
        </w:rPr>
      </w:pPr>
      <w:r>
        <w:rPr>
          <w:rFonts w:ascii="宋体" w:hAnsi="宋体" w:cs="Arial" w:hint="eastAsia"/>
          <w:bCs/>
          <w:sz w:val="24"/>
          <w:highlight w:val="white"/>
          <w:lang w:eastAsia="zh-CN"/>
        </w:rPr>
        <w:t>本托管协议凡是直接引用法律法规的部分，如将来法律法规修改导致相关内容被取消或变更的，基金管理人与基金托管人协商一致后，可直接对相应内容进行修改和调整并进行公告，无需召开基金份额持有人大会审议。</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（二）基金托管协议终止出现的情形</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1.</w:t>
      </w:r>
      <w:r>
        <w:rPr>
          <w:rFonts w:ascii="宋体" w:hAnsi="宋体" w:cs="Arial" w:hint="eastAsia"/>
          <w:sz w:val="24"/>
          <w:highlight w:val="white"/>
          <w:lang w:eastAsia="zh-CN"/>
        </w:rPr>
        <w:t>基金合同终止；</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2.</w:t>
      </w:r>
      <w:r>
        <w:rPr>
          <w:rFonts w:ascii="宋体" w:hAnsi="宋体" w:cs="Arial" w:hint="eastAsia"/>
          <w:sz w:val="24"/>
          <w:highlight w:val="white"/>
          <w:lang w:eastAsia="zh-CN"/>
        </w:rPr>
        <w:t>基金托管人解散、依法被撤销、破产或由其他基金托管人接管基金资产；</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3.</w:t>
      </w:r>
      <w:r>
        <w:rPr>
          <w:rFonts w:ascii="宋体" w:hAnsi="宋体" w:cs="Arial" w:hint="eastAsia"/>
          <w:sz w:val="24"/>
          <w:highlight w:val="white"/>
          <w:lang w:eastAsia="zh-CN"/>
        </w:rPr>
        <w:t>基金管理人解散、依法被撤销、破产或由其他基金管理人接管基金管理权；</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4.</w:t>
      </w:r>
      <w:r>
        <w:rPr>
          <w:rFonts w:ascii="宋体" w:hAnsi="宋体" w:cs="Arial" w:hint="eastAsia"/>
          <w:sz w:val="24"/>
          <w:highlight w:val="white"/>
          <w:lang w:eastAsia="zh-CN"/>
        </w:rPr>
        <w:t>发生法律法规或基金合同规定的终止事项。</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（三）基金财产的清算</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1.</w:t>
      </w:r>
      <w:r>
        <w:rPr>
          <w:rFonts w:ascii="宋体" w:hAnsi="宋体" w:cs="Arial" w:hint="eastAsia"/>
          <w:sz w:val="24"/>
          <w:highlight w:val="white"/>
          <w:lang w:eastAsia="zh-CN"/>
        </w:rPr>
        <w:t>基金财产清算小组：自出现《基金合同》终止事由之日起</w:t>
      </w:r>
      <w:r>
        <w:rPr>
          <w:rFonts w:ascii="宋体" w:hAnsi="宋体" w:cs="Arial" w:hint="eastAsia"/>
          <w:sz w:val="24"/>
          <w:highlight w:val="white"/>
          <w:lang w:eastAsia="zh-CN"/>
        </w:rPr>
        <w:t>3</w:t>
      </w:r>
      <w:r>
        <w:rPr>
          <w:rFonts w:ascii="宋体" w:hAnsi="宋体" w:cs="Arial" w:hint="eastAsia"/>
          <w:sz w:val="24"/>
          <w:highlight w:val="white"/>
          <w:lang w:eastAsia="zh-CN"/>
        </w:rPr>
        <w:t>0</w:t>
      </w:r>
      <w:r>
        <w:rPr>
          <w:rFonts w:ascii="宋体" w:hAnsi="宋体" w:cs="Arial" w:hint="eastAsia"/>
          <w:sz w:val="24"/>
          <w:highlight w:val="white"/>
          <w:lang w:eastAsia="zh-CN"/>
        </w:rPr>
        <w:t>个工作日内成立清算小组，基金管理人组织基金财产清算小组并在中国证监会的监督下进行基金清算。</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2.</w:t>
      </w:r>
      <w:r>
        <w:rPr>
          <w:rFonts w:ascii="宋体" w:hAnsi="宋体" w:cs="Arial" w:hint="eastAsia"/>
          <w:sz w:val="24"/>
          <w:highlight w:val="white"/>
          <w:lang w:eastAsia="zh-CN"/>
        </w:rPr>
        <w:t>基金财产清算小组组成：基金财产清算小组成员由基金管理人、基金托管人、注册会计师、律师以及中国证监会指定的人员组成。基金财产清算小组可以聘用必要的工作人员。</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3.</w:t>
      </w:r>
      <w:r>
        <w:rPr>
          <w:rFonts w:ascii="宋体" w:hAnsi="宋体" w:cs="Arial" w:hint="eastAsia"/>
          <w:sz w:val="24"/>
          <w:highlight w:val="white"/>
          <w:lang w:eastAsia="zh-CN"/>
        </w:rPr>
        <w:t>基金财产清算小组职责：基金财产清算小组负责基金财产的保管、清理、估价、变现和分配。基金财产清算小组可以依法进行必要的民事活动。</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4.</w:t>
      </w:r>
      <w:r>
        <w:rPr>
          <w:rFonts w:ascii="宋体" w:hAnsi="宋体" w:cs="Arial" w:hint="eastAsia"/>
          <w:sz w:val="24"/>
          <w:highlight w:val="white"/>
          <w:lang w:eastAsia="zh-CN"/>
        </w:rPr>
        <w:t>基金财产清算程序：</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w:t>
      </w:r>
      <w:r>
        <w:rPr>
          <w:rFonts w:ascii="宋体" w:hAnsi="宋体" w:cs="Arial" w:hint="eastAsia"/>
          <w:sz w:val="24"/>
          <w:highlight w:val="white"/>
          <w:lang w:eastAsia="zh-CN"/>
        </w:rPr>
        <w:t>1</w:t>
      </w:r>
      <w:r>
        <w:rPr>
          <w:rFonts w:ascii="宋体" w:hAnsi="宋体" w:cs="Arial" w:hint="eastAsia"/>
          <w:sz w:val="24"/>
          <w:highlight w:val="white"/>
          <w:lang w:eastAsia="zh-CN"/>
        </w:rPr>
        <w:t>）《基金合同》终止情形出现时，由基金财产清算小组统一接管基金；</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w:t>
      </w:r>
      <w:r>
        <w:rPr>
          <w:rFonts w:ascii="宋体" w:hAnsi="宋体" w:cs="Arial" w:hint="eastAsia"/>
          <w:sz w:val="24"/>
          <w:highlight w:val="white"/>
          <w:lang w:eastAsia="zh-CN"/>
        </w:rPr>
        <w:t>2</w:t>
      </w:r>
      <w:r>
        <w:rPr>
          <w:rFonts w:ascii="宋体" w:hAnsi="宋体" w:cs="Arial" w:hint="eastAsia"/>
          <w:sz w:val="24"/>
          <w:highlight w:val="white"/>
          <w:lang w:eastAsia="zh-CN"/>
        </w:rPr>
        <w:t>）对基金财产和债权债务进行清理</w:t>
      </w:r>
      <w:r>
        <w:rPr>
          <w:rFonts w:ascii="宋体" w:hAnsi="宋体" w:cs="Arial" w:hint="eastAsia"/>
          <w:sz w:val="24"/>
          <w:highlight w:val="white"/>
          <w:lang w:eastAsia="zh-CN"/>
        </w:rPr>
        <w:t>和确认；</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w:t>
      </w:r>
      <w:r>
        <w:rPr>
          <w:rFonts w:ascii="宋体" w:hAnsi="宋体" w:cs="Arial" w:hint="eastAsia"/>
          <w:sz w:val="24"/>
          <w:highlight w:val="white"/>
          <w:lang w:eastAsia="zh-CN"/>
        </w:rPr>
        <w:t>3</w:t>
      </w:r>
      <w:r>
        <w:rPr>
          <w:rFonts w:ascii="宋体" w:hAnsi="宋体" w:cs="Arial" w:hint="eastAsia"/>
          <w:sz w:val="24"/>
          <w:highlight w:val="white"/>
          <w:lang w:eastAsia="zh-CN"/>
        </w:rPr>
        <w:t>）对基金财产进行估值和变现；</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w:t>
      </w:r>
      <w:r>
        <w:rPr>
          <w:rFonts w:ascii="宋体" w:hAnsi="宋体" w:cs="Arial" w:hint="eastAsia"/>
          <w:sz w:val="24"/>
          <w:highlight w:val="white"/>
          <w:lang w:eastAsia="zh-CN"/>
        </w:rPr>
        <w:t>4</w:t>
      </w:r>
      <w:r>
        <w:rPr>
          <w:rFonts w:ascii="宋体" w:hAnsi="宋体" w:cs="Arial" w:hint="eastAsia"/>
          <w:sz w:val="24"/>
          <w:highlight w:val="white"/>
          <w:lang w:eastAsia="zh-CN"/>
        </w:rPr>
        <w:t>）制作清算报告；</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w:t>
      </w:r>
      <w:r>
        <w:rPr>
          <w:rFonts w:ascii="宋体" w:hAnsi="宋体" w:cs="Arial" w:hint="eastAsia"/>
          <w:sz w:val="24"/>
          <w:highlight w:val="white"/>
          <w:lang w:eastAsia="zh-CN"/>
        </w:rPr>
        <w:t>5</w:t>
      </w:r>
      <w:r>
        <w:rPr>
          <w:rFonts w:ascii="宋体" w:hAnsi="宋体" w:cs="Arial" w:hint="eastAsia"/>
          <w:sz w:val="24"/>
          <w:highlight w:val="white"/>
          <w:lang w:eastAsia="zh-CN"/>
        </w:rPr>
        <w:t>）聘请会计师事务所对清算报告进行外部审计，聘请律师事务所对清算报告出具法律意见书；</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w:t>
      </w:r>
      <w:r>
        <w:rPr>
          <w:rFonts w:ascii="宋体" w:hAnsi="宋体" w:cs="Arial" w:hint="eastAsia"/>
          <w:sz w:val="24"/>
          <w:highlight w:val="white"/>
          <w:lang w:eastAsia="zh-CN"/>
        </w:rPr>
        <w:t>6</w:t>
      </w:r>
      <w:r>
        <w:rPr>
          <w:rFonts w:ascii="宋体" w:hAnsi="宋体" w:cs="Arial" w:hint="eastAsia"/>
          <w:sz w:val="24"/>
          <w:highlight w:val="white"/>
          <w:lang w:eastAsia="zh-CN"/>
        </w:rPr>
        <w:t>）将清算报告报中国证监会备案并公告；</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w:t>
      </w:r>
      <w:r>
        <w:rPr>
          <w:rFonts w:ascii="宋体" w:hAnsi="宋体" w:cs="Arial" w:hint="eastAsia"/>
          <w:sz w:val="24"/>
          <w:highlight w:val="white"/>
          <w:lang w:eastAsia="zh-CN"/>
        </w:rPr>
        <w:t>7</w:t>
      </w:r>
      <w:r>
        <w:rPr>
          <w:rFonts w:ascii="宋体" w:hAnsi="宋体" w:cs="Arial" w:hint="eastAsia"/>
          <w:sz w:val="24"/>
          <w:highlight w:val="white"/>
          <w:lang w:eastAsia="zh-CN"/>
        </w:rPr>
        <w:t>）对基金剩余财产进行分配。</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5.</w:t>
      </w:r>
      <w:r>
        <w:rPr>
          <w:rFonts w:ascii="宋体" w:hAnsi="宋体" w:cs="Arial" w:hint="eastAsia"/>
          <w:sz w:val="24"/>
          <w:highlight w:val="white"/>
          <w:lang w:eastAsia="zh-CN"/>
        </w:rPr>
        <w:t>基金财产清算的期限为</w:t>
      </w:r>
      <w:r>
        <w:rPr>
          <w:rFonts w:ascii="宋体" w:hAnsi="宋体" w:cs="Arial" w:hint="eastAsia"/>
          <w:sz w:val="24"/>
          <w:highlight w:val="white"/>
          <w:lang w:eastAsia="zh-CN"/>
        </w:rPr>
        <w:t>6</w:t>
      </w:r>
      <w:r>
        <w:rPr>
          <w:rFonts w:ascii="宋体" w:hAnsi="宋体" w:cs="Arial" w:hint="eastAsia"/>
          <w:sz w:val="24"/>
          <w:highlight w:val="white"/>
          <w:lang w:eastAsia="zh-CN"/>
        </w:rPr>
        <w:t>个月，但因本基金所持证券的流动性受到限制而不能及时变现的，清算期限相应顺延。</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lang w:eastAsia="zh-CN"/>
        </w:rPr>
        <w:t>（</w:t>
      </w:r>
      <w:r>
        <w:rPr>
          <w:rFonts w:ascii="宋体" w:hAnsi="宋体" w:cs="Arial" w:hint="eastAsia"/>
          <w:sz w:val="24"/>
          <w:highlight w:val="white"/>
          <w:lang w:eastAsia="zh-CN"/>
        </w:rPr>
        <w:t>四）清算费用</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清算费用是指基金财产清算小组在进行基金清算过程中发生的所有合理费用，清算费用由基金财产清算小组优先从基金财产中支付。</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lang w:eastAsia="zh-CN"/>
        </w:rPr>
        <w:t>（</w:t>
      </w:r>
      <w:r>
        <w:rPr>
          <w:rFonts w:ascii="宋体" w:hAnsi="宋体" w:cs="Arial" w:hint="eastAsia"/>
          <w:sz w:val="24"/>
          <w:highlight w:val="white"/>
          <w:lang w:eastAsia="zh-CN"/>
        </w:rPr>
        <w:t>五）基金财产清算剩余资产的分配</w:t>
      </w:r>
    </w:p>
    <w:p w:rsidR="00CB176C" w:rsidRPr="00CB176C">
      <w:pPr>
        <w:snapToGrid w:val="0"/>
        <w:spacing w:after="156" w:afterLines="50" w:line="288" w:lineRule="auto"/>
        <w:ind w:firstLine="480" w:firstLineChars="200"/>
        <w:rPr>
          <w:rFonts w:ascii="宋体" w:hAnsi="宋体" w:cs="Arial"/>
          <w:sz w:val="24"/>
          <w:highlight w:val="white"/>
          <w:lang w:eastAsia="zh-CN"/>
        </w:rPr>
      </w:pPr>
      <w:r>
        <w:rPr>
          <w:rFonts w:ascii="宋体" w:hAnsi="宋体" w:cs="Arial" w:hint="eastAsia"/>
          <w:sz w:val="24"/>
          <w:highlight w:val="white"/>
          <w:lang w:eastAsia="zh-CN"/>
        </w:rPr>
        <w:t>依据基金财产清算的分配方案，将基金财产清算后的全部剩余资产扣除基金财产清算费用、交纳所欠税款并清偿基金债务后，按基金份额持有人持有的基金份额比例进行分配</w:t>
      </w:r>
      <w:r>
        <w:rPr>
          <w:rFonts w:ascii="宋体" w:hAnsi="宋体" w:cs="Arial" w:hint="eastAsia"/>
          <w:sz w:val="24"/>
          <w:highlight w:val="white"/>
          <w:lang w:eastAsia="zh-CN"/>
        </w:rPr>
        <w:t>。</w:t>
      </w:r>
      <w:r>
        <w:rPr>
          <w:rFonts w:ascii="宋体" w:hAnsi="宋体" w:cs="Arial"/>
          <w:color w:val="auto"/>
          <w:sz w:val="24"/>
          <w:highlight w:val="white"/>
          <w:lang w:eastAsia="zh-CN"/>
        </w:rPr>
        <w:t>分配金额需加上</w:t>
      </w:r>
      <w:r>
        <w:rPr>
          <w:rFonts w:ascii="宋体" w:hAnsi="宋体" w:cs="Arial" w:hint="eastAsia"/>
          <w:color w:val="auto"/>
          <w:sz w:val="24"/>
          <w:highlight w:val="white"/>
          <w:lang w:eastAsia="zh-CN"/>
        </w:rPr>
        <w:t>返还</w:t>
      </w:r>
      <w:r>
        <w:rPr>
          <w:rFonts w:ascii="宋体" w:hAnsi="宋体" w:cs="Arial"/>
          <w:color w:val="auto"/>
          <w:sz w:val="24"/>
          <w:highlight w:val="white"/>
          <w:lang w:eastAsia="zh-CN"/>
        </w:rPr>
        <w:t>基金份额持有人</w:t>
      </w:r>
      <w:r>
        <w:rPr>
          <w:rFonts w:ascii="宋体" w:hAnsi="宋体" w:cs="Arial" w:hint="eastAsia"/>
          <w:color w:val="auto"/>
          <w:sz w:val="24"/>
          <w:highlight w:val="white"/>
          <w:lang w:eastAsia="zh-CN"/>
        </w:rPr>
        <w:t>的销售服务费（如有）</w:t>
      </w:r>
      <w:r>
        <w:rPr>
          <w:rFonts w:ascii="宋体" w:hAnsi="宋体" w:cs="Arial" w:hint="eastAsia"/>
          <w:sz w:val="24"/>
          <w:highlight w:val="white"/>
          <w:lang w:eastAsia="zh-CN"/>
        </w:rPr>
        <w:t>。</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lang w:eastAsia="zh-CN"/>
        </w:rPr>
        <w:t>（</w:t>
      </w:r>
      <w:r>
        <w:rPr>
          <w:rFonts w:ascii="宋体" w:hAnsi="宋体" w:cs="Arial" w:hint="eastAsia"/>
          <w:sz w:val="24"/>
          <w:highlight w:val="white"/>
          <w:lang w:eastAsia="zh-CN"/>
        </w:rPr>
        <w:t>六）基金财产清算的公告</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w:t>
      </w:r>
      <w:r>
        <w:rPr>
          <w:rFonts w:ascii="宋体" w:hAnsi="宋体" w:cs="Arial" w:hint="eastAsia"/>
          <w:sz w:val="24"/>
          <w:highlight w:val="white"/>
          <w:lang w:eastAsia="zh-CN"/>
        </w:rPr>
        <w:t>5</w:t>
      </w:r>
      <w:r>
        <w:rPr>
          <w:rFonts w:ascii="宋体" w:hAnsi="宋体" w:cs="Arial" w:hint="eastAsia"/>
          <w:sz w:val="24"/>
          <w:highlight w:val="white"/>
          <w:lang w:eastAsia="zh-CN"/>
        </w:rPr>
        <w:t>个工作日内由基金财产清算小组进行公告。</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lang w:eastAsia="zh-CN"/>
        </w:rPr>
        <w:t>（</w:t>
      </w:r>
      <w:r>
        <w:rPr>
          <w:rFonts w:ascii="宋体" w:hAnsi="宋体" w:cs="Arial" w:hint="eastAsia"/>
          <w:sz w:val="24"/>
          <w:highlight w:val="white"/>
          <w:lang w:eastAsia="zh-CN"/>
        </w:rPr>
        <w:t>七）基金财产清算账册及文件的保存</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基</w:t>
      </w:r>
      <w:r>
        <w:rPr>
          <w:rFonts w:ascii="宋体" w:hAnsi="宋体" w:cs="Arial" w:hint="eastAsia"/>
          <w:sz w:val="24"/>
          <w:highlight w:val="white"/>
          <w:lang w:eastAsia="zh-CN"/>
        </w:rPr>
        <w:t>金财产清算账册及有关文件由基金托管人保存</w:t>
      </w:r>
      <w:r>
        <w:rPr>
          <w:rFonts w:ascii="宋体" w:hAnsi="宋体" w:cs="Arial" w:hint="eastAsia"/>
          <w:sz w:val="24"/>
          <w:highlight w:val="white"/>
          <w:lang w:eastAsia="zh-CN"/>
        </w:rPr>
        <w:t>20</w:t>
      </w:r>
      <w:r>
        <w:rPr>
          <w:rFonts w:ascii="宋体" w:hAnsi="宋体" w:cs="Arial" w:hint="eastAsia"/>
          <w:sz w:val="24"/>
          <w:highlight w:val="white"/>
          <w:lang w:eastAsia="zh-CN"/>
        </w:rPr>
        <w:t>年以上。</w:t>
      </w:r>
    </w:p>
    <w:p w:rsidR="00CB176C">
      <w:pPr>
        <w:snapToGrid w:val="0"/>
        <w:spacing w:after="156" w:afterLines="50" w:line="288" w:lineRule="auto"/>
        <w:ind w:firstLine="480" w:firstLineChars="200"/>
        <w:rPr>
          <w:rFonts w:ascii="宋体" w:hAnsi="宋体" w:cs="Arial"/>
          <w:sz w:val="24"/>
          <w:lang w:eastAsia="zh-CN"/>
        </w:rPr>
      </w:pPr>
    </w:p>
    <w:p w:rsidR="00CB176C">
      <w:pPr>
        <w:snapToGrid w:val="0"/>
        <w:spacing w:after="156" w:afterLines="50" w:line="288" w:lineRule="auto"/>
        <w:ind w:firstLine="480" w:firstLineChars="200"/>
        <w:rPr>
          <w:rFonts w:ascii="宋体" w:hAnsi="宋体" w:cs="Arial"/>
          <w:sz w:val="24"/>
          <w:lang w:eastAsia="zh-CN"/>
        </w:rPr>
      </w:pPr>
    </w:p>
    <w:p w:rsidR="00CB176C">
      <w:pPr>
        <w:pStyle w:val="Heading2"/>
        <w:spacing w:before="0" w:after="156" w:afterLines="50" w:line="288" w:lineRule="auto"/>
        <w:jc w:val="center"/>
        <w:rPr>
          <w:rFonts w:ascii="宋体" w:eastAsia="宋体" w:hAnsi="宋体"/>
          <w:sz w:val="30"/>
          <w:lang w:eastAsia="zh-CN"/>
        </w:rPr>
      </w:pPr>
      <w:bookmarkStart w:id="136" w:name="_Toc124325901"/>
      <w:bookmarkStart w:id="137" w:name="_Toc205489779"/>
      <w:r>
        <w:rPr>
          <w:rFonts w:ascii="宋体" w:eastAsia="宋体" w:hAnsi="宋体" w:hint="eastAsia"/>
          <w:sz w:val="30"/>
          <w:highlight w:val="white"/>
          <w:lang w:eastAsia="zh-CN"/>
        </w:rPr>
        <w:t>十八、违约责任</w:t>
      </w:r>
      <w:bookmarkEnd w:id="136"/>
      <w:bookmarkEnd w:id="137"/>
    </w:p>
    <w:p w:rsidR="00CB176C">
      <w:pPr>
        <w:pStyle w:val="NormalIndent"/>
        <w:rPr>
          <w:lang w:eastAsia="zh-CN"/>
        </w:rPr>
      </w:pPr>
    </w:p>
    <w:p w:rsidR="00CB176C">
      <w:pPr>
        <w:snapToGrid w:val="0"/>
        <w:spacing w:after="156" w:afterLines="50" w:line="288" w:lineRule="auto"/>
        <w:ind w:firstLine="480" w:firstLineChars="200"/>
        <w:outlineLvl w:val="0"/>
        <w:rPr>
          <w:rFonts w:ascii="宋体" w:hAnsi="宋体" w:cs="Arial"/>
          <w:sz w:val="24"/>
          <w:lang w:eastAsia="zh-CN"/>
        </w:rPr>
      </w:pPr>
      <w:r>
        <w:rPr>
          <w:rFonts w:ascii="宋体" w:hAnsi="宋体" w:cs="Arial" w:hint="eastAsia"/>
          <w:sz w:val="24"/>
          <w:highlight w:val="white"/>
          <w:lang w:eastAsia="zh-CN"/>
        </w:rPr>
        <w:t>（一）基金管理人、基金托管人不履行本托管协议或履行本托管协议不符合约定的，应当承担违约责任。</w:t>
      </w:r>
    </w:p>
    <w:p w:rsidR="00CB176C">
      <w:pPr>
        <w:snapToGrid w:val="0"/>
        <w:spacing w:after="156" w:afterLines="50" w:line="288" w:lineRule="auto"/>
        <w:ind w:firstLine="480" w:firstLineChars="200"/>
        <w:outlineLvl w:val="0"/>
        <w:rPr>
          <w:rFonts w:ascii="宋体" w:hAnsi="宋体" w:cs="Arial"/>
          <w:sz w:val="24"/>
          <w:lang w:eastAsia="zh-CN"/>
        </w:rPr>
      </w:pPr>
      <w:r>
        <w:rPr>
          <w:rFonts w:ascii="宋体" w:hAnsi="宋体" w:cs="Arial" w:hint="eastAsia"/>
          <w:sz w:val="24"/>
          <w:highlight w:val="white"/>
          <w:lang w:eastAsia="zh-CN"/>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一方承担连带责任后有权根据双方过错程度向另一方追偿，本托管协议另有约定的除外。对损害的赔偿，仅限</w:t>
      </w:r>
      <w:r>
        <w:rPr>
          <w:rFonts w:ascii="宋体" w:hAnsi="宋体" w:cs="Arial" w:hint="eastAsia"/>
          <w:sz w:val="24"/>
          <w:highlight w:val="white"/>
          <w:lang w:eastAsia="zh-CN"/>
        </w:rPr>
        <w:t>于直接损失。</w:t>
      </w:r>
    </w:p>
    <w:p w:rsidR="00CB176C">
      <w:pPr>
        <w:snapToGrid w:val="0"/>
        <w:spacing w:after="156" w:afterLines="50" w:line="288" w:lineRule="auto"/>
        <w:ind w:firstLine="480" w:firstLineChars="200"/>
        <w:outlineLvl w:val="0"/>
        <w:rPr>
          <w:rFonts w:ascii="宋体" w:hAnsi="宋体" w:cs="Arial"/>
          <w:sz w:val="24"/>
          <w:lang w:eastAsia="zh-CN"/>
        </w:rPr>
      </w:pPr>
      <w:r>
        <w:rPr>
          <w:rFonts w:ascii="宋体" w:hAnsi="宋体" w:cs="Arial" w:hint="eastAsia"/>
          <w:sz w:val="24"/>
          <w:highlight w:val="white"/>
          <w:lang w:eastAsia="zh-CN"/>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1.</w:t>
      </w:r>
      <w:r>
        <w:rPr>
          <w:rFonts w:ascii="宋体" w:hAnsi="宋体" w:cs="Arial" w:hint="eastAsia"/>
          <w:sz w:val="24"/>
          <w:highlight w:val="white"/>
          <w:lang w:eastAsia="zh-CN"/>
        </w:rPr>
        <w:t>不可抗力；</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2.</w:t>
      </w:r>
      <w:r>
        <w:rPr>
          <w:rFonts w:ascii="宋体" w:hAnsi="宋体" w:cs="Arial" w:hint="eastAsia"/>
          <w:sz w:val="24"/>
          <w:highlight w:val="white"/>
          <w:lang w:eastAsia="zh-CN"/>
        </w:rPr>
        <w:t>基金管理人和</w:t>
      </w:r>
      <w:r>
        <w:rPr>
          <w:rFonts w:ascii="宋体" w:hAnsi="宋体" w:cs="Arial" w:hint="eastAsia"/>
          <w:sz w:val="24"/>
          <w:highlight w:val="white"/>
          <w:lang w:eastAsia="zh-CN"/>
        </w:rPr>
        <w:t>/</w:t>
      </w:r>
      <w:r>
        <w:rPr>
          <w:rFonts w:ascii="宋体" w:hAnsi="宋体" w:cs="Arial" w:hint="eastAsia"/>
          <w:sz w:val="24"/>
          <w:highlight w:val="white"/>
          <w:lang w:eastAsia="zh-CN"/>
        </w:rPr>
        <w:t>或基金托管人按照当时有效的法律法规或中国证监会的规定作为或不作为而造成的损失等；</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3.</w:t>
      </w:r>
      <w:r>
        <w:rPr>
          <w:rFonts w:ascii="宋体" w:hAnsi="宋体" w:cs="Arial" w:hint="eastAsia"/>
          <w:sz w:val="24"/>
          <w:highlight w:val="white"/>
          <w:lang w:eastAsia="zh-CN"/>
        </w:rPr>
        <w:t>基金管理人由于按照基金合同规定的投资原则投资或不投资造成的损失等。</w:t>
      </w:r>
    </w:p>
    <w:p w:rsidR="00CB176C">
      <w:pPr>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（四）一方当事人违约，另一方当事人在职责范围内有义务及时采取必要的措施，尽力防止损失的扩大。</w:t>
      </w:r>
      <w:r>
        <w:rPr>
          <w:rFonts w:ascii="宋体" w:hAnsi="宋体" w:cs="Arial"/>
          <w:sz w:val="24"/>
          <w:highlight w:val="white"/>
          <w:lang w:eastAsia="zh-CN"/>
        </w:rPr>
        <w:t>没有采取适当措施致使损失进一步扩大的，不得就扩大的损失要求赔偿。非违约方因防止损失扩大而支出的合理费用由违约方承担。</w:t>
      </w:r>
      <w:r>
        <w:rPr>
          <w:rFonts w:ascii="宋体" w:hAnsi="宋体" w:cs="Arial" w:hint="eastAsia"/>
          <w:sz w:val="24"/>
          <w:highlight w:val="white"/>
          <w:lang w:eastAsia="zh-CN"/>
        </w:rPr>
        <w:t>因一方当事人违约而导致其他当事人损失的，基金份额持有人应先于其他受损方获得赔偿。</w:t>
      </w:r>
    </w:p>
    <w:p w:rsidR="00CB176C">
      <w:pPr>
        <w:snapToGrid w:val="0"/>
        <w:spacing w:after="156" w:afterLines="50" w:line="288" w:lineRule="auto"/>
        <w:ind w:firstLine="480" w:firstLineChars="200"/>
        <w:outlineLvl w:val="0"/>
        <w:rPr>
          <w:rFonts w:ascii="宋体" w:hAnsi="宋体" w:cs="Arial"/>
          <w:sz w:val="24"/>
          <w:lang w:eastAsia="zh-CN"/>
        </w:rPr>
      </w:pPr>
      <w:r>
        <w:rPr>
          <w:rFonts w:ascii="宋体" w:hAnsi="宋体" w:cs="Arial" w:hint="eastAsia"/>
          <w:sz w:val="24"/>
          <w:highlight w:val="white"/>
          <w:lang w:eastAsia="zh-CN"/>
        </w:rPr>
        <w:t>（五）违约行为虽已发生，但本托管协议能够继续履行的，在最大限度地保护基金份额持有人利益的前提下，基金管理人和基金托管人应当继续履行本托管协议。</w:t>
      </w:r>
    </w:p>
    <w:p w:rsidR="00CB176C">
      <w:pPr>
        <w:snapToGrid w:val="0"/>
        <w:spacing w:after="156" w:afterLines="50" w:line="288" w:lineRule="auto"/>
        <w:ind w:firstLine="480" w:firstLineChars="200"/>
        <w:outlineLvl w:val="0"/>
        <w:rPr>
          <w:rFonts w:ascii="宋体" w:hAnsi="宋体" w:cs="Arial"/>
          <w:sz w:val="24"/>
          <w:lang w:eastAsia="zh-CN"/>
        </w:rPr>
      </w:pPr>
      <w:bookmarkStart w:id="138" w:name="_Hlk79101449"/>
      <w:r>
        <w:rPr>
          <w:rFonts w:ascii="宋体" w:hAnsi="宋体" w:cs="Arial" w:hint="eastAsia"/>
          <w:sz w:val="24"/>
          <w:highlight w:val="white"/>
          <w:lang w:eastAsia="zh-CN"/>
        </w:rPr>
        <w:t>（六）由于基金管理人、基金托管人不可控制的因素导致业务出现差错，基金管理人和基金托管人虽然已经采取必要、适当、合理的措施进行检查，但是未能发现错误的，由此造成基金财产或投</w:t>
      </w:r>
      <w:r>
        <w:rPr>
          <w:rFonts w:ascii="宋体" w:hAnsi="宋体" w:cs="Arial" w:hint="eastAsia"/>
          <w:sz w:val="24"/>
          <w:highlight w:val="white"/>
          <w:lang w:eastAsia="zh-CN"/>
        </w:rPr>
        <w:t>资人损失，基金管理人和基金托管人免除赔偿责任。但是基金管理人和基金托管人应积极采取必要的措施减轻或消除由此造成的影响。</w:t>
      </w:r>
    </w:p>
    <w:p w:rsidR="00CB176C">
      <w:pPr>
        <w:pStyle w:val="Heading2"/>
        <w:spacing w:before="0" w:after="156" w:afterLines="50" w:line="288" w:lineRule="auto"/>
        <w:jc w:val="center"/>
        <w:rPr>
          <w:rFonts w:ascii="宋体" w:eastAsia="宋体" w:hAnsi="宋体"/>
          <w:sz w:val="30"/>
          <w:lang w:eastAsia="zh-CN"/>
        </w:rPr>
      </w:pPr>
      <w:bookmarkStart w:id="139" w:name="_Toc124325902"/>
      <w:bookmarkStart w:id="140" w:name="_Toc205489780"/>
      <w:bookmarkEnd w:id="138"/>
      <w:r>
        <w:rPr>
          <w:rFonts w:ascii="宋体" w:eastAsia="宋体" w:hAnsi="宋体" w:hint="eastAsia"/>
          <w:sz w:val="30"/>
          <w:highlight w:val="white"/>
          <w:lang w:eastAsia="zh-CN"/>
        </w:rPr>
        <w:t>十九、争议解决方式</w:t>
      </w:r>
      <w:bookmarkEnd w:id="139"/>
      <w:bookmarkEnd w:id="140"/>
    </w:p>
    <w:p w:rsidR="00CB176C">
      <w:pPr>
        <w:pStyle w:val="NormalIndent"/>
        <w:rPr>
          <w:lang w:eastAsia="zh-CN"/>
        </w:rPr>
      </w:pP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双方当事人同意，因本托管协议产生或与之相关的争议，可通过友好协商解决；托管协议当事人不愿通过协商、调解解决或者协商、调解不成的，则任何一方均有权将争议提交上海国际经济贸易仲裁委员会（上海国际仲裁中心），</w:t>
      </w:r>
      <w:r>
        <w:rPr>
          <w:rFonts w:ascii="宋体" w:hAnsi="宋体" w:hint="eastAsia"/>
          <w:bCs/>
          <w:sz w:val="24"/>
          <w:highlight w:val="white"/>
          <w:lang w:eastAsia="zh-CN"/>
        </w:rPr>
        <w:t>按照其时有效的仲裁规则进行仲裁，</w:t>
      </w:r>
      <w:r>
        <w:rPr>
          <w:rFonts w:ascii="宋体" w:hAnsi="宋体" w:cs="Arial" w:hint="eastAsia"/>
          <w:sz w:val="24"/>
          <w:highlight w:val="white"/>
          <w:lang w:eastAsia="zh-CN"/>
        </w:rPr>
        <w:t>仲裁地点为上海市。仲裁裁决是终局的，对仲裁各方当事人均具有约束力，仲裁费用由败诉方承担。</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争议处理期间，双方当事人应恪守基金管理人和基金托管人职责，各自继续忠实、勤勉、尽责地履行基金合同和本托管协议规定的义务，维护基金份额持有人的合法权益。</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本托管协议受中国法律管辖。</w:t>
      </w:r>
    </w:p>
    <w:p w:rsidR="00CB176C">
      <w:pPr>
        <w:pStyle w:val="Heading2"/>
        <w:spacing w:before="0" w:after="156" w:afterLines="50" w:line="288" w:lineRule="auto"/>
        <w:jc w:val="center"/>
        <w:rPr>
          <w:rFonts w:ascii="宋体" w:eastAsia="宋体" w:hAnsi="宋体"/>
          <w:sz w:val="30"/>
          <w:lang w:eastAsia="zh-CN"/>
        </w:rPr>
      </w:pPr>
      <w:bookmarkStart w:id="141" w:name="_Toc205489781"/>
      <w:bookmarkStart w:id="142" w:name="_Toc124325903"/>
      <w:r>
        <w:rPr>
          <w:rFonts w:ascii="宋体" w:eastAsia="宋体" w:hAnsi="宋体" w:hint="eastAsia"/>
          <w:sz w:val="30"/>
          <w:highlight w:val="white"/>
          <w:lang w:eastAsia="zh-CN"/>
        </w:rPr>
        <w:t>二十、托管协议的效力</w:t>
      </w:r>
      <w:bookmarkEnd w:id="141"/>
      <w:bookmarkEnd w:id="142"/>
    </w:p>
    <w:p w:rsidR="00CB176C">
      <w:pPr>
        <w:pStyle w:val="NormalIndent"/>
        <w:rPr>
          <w:lang w:eastAsia="zh-CN"/>
        </w:rPr>
      </w:pP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双方对托管协议的效力约定如下：</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一）基金管理人在向中国证监会申请募集注册本基金时提交的托管协议草案，应经托管协议当事人双方盖章以及双方法定代表人或授权代表签字或盖章，协议当事人双方根据中国证监会的意见修改托管协议草案。托管协议以中国证监会注册的文本为正式文本。</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（二）托管协议自基金合同成立之日起成立，自基</w:t>
      </w:r>
      <w:r>
        <w:rPr>
          <w:rFonts w:ascii="宋体" w:hAnsi="宋体" w:cs="Arial" w:hint="eastAsia"/>
          <w:sz w:val="24"/>
          <w:highlight w:val="white"/>
          <w:lang w:eastAsia="zh-CN"/>
        </w:rPr>
        <w:t>金合同生效之日起生效。托管协议的有效期自其生效之日起至基金财产清算结果报中国证监会备案并公告之日止。</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（三）托管协议自生效之日起对托管协议当事人具有同等的法律约束力。</w:t>
      </w:r>
    </w:p>
    <w:p w:rsidR="00CB176C">
      <w:pPr>
        <w:snapToGrid w:val="0"/>
        <w:spacing w:after="156" w:afterLines="50" w:line="288" w:lineRule="auto"/>
        <w:ind w:firstLine="480" w:firstLineChars="200"/>
        <w:rPr>
          <w:rFonts w:ascii="宋体" w:hAnsi="宋体"/>
          <w:sz w:val="30"/>
          <w:szCs w:val="30"/>
          <w:lang w:eastAsia="zh-CN"/>
        </w:rPr>
      </w:pPr>
      <w:r>
        <w:rPr>
          <w:rFonts w:ascii="宋体" w:hAnsi="宋体" w:cs="Arial" w:hint="eastAsia"/>
          <w:sz w:val="24"/>
          <w:highlight w:val="white"/>
          <w:lang w:eastAsia="zh-CN"/>
        </w:rPr>
        <w:t>（四）本托管协议一式</w:t>
      </w:r>
      <w:r>
        <w:rPr>
          <w:rFonts w:ascii="宋体" w:hAnsi="宋体" w:cs="Arial"/>
          <w:sz w:val="24"/>
          <w:highlight w:val="white"/>
          <w:lang w:eastAsia="zh-CN"/>
        </w:rPr>
        <w:t>3</w:t>
      </w:r>
      <w:r>
        <w:rPr>
          <w:rFonts w:ascii="宋体" w:hAnsi="宋体" w:cs="Arial" w:hint="eastAsia"/>
          <w:sz w:val="24"/>
          <w:highlight w:val="white"/>
          <w:lang w:eastAsia="zh-CN"/>
        </w:rPr>
        <w:t>份，协议双方各持</w:t>
      </w:r>
      <w:r>
        <w:rPr>
          <w:rFonts w:ascii="宋体" w:hAnsi="宋体" w:cs="Arial"/>
          <w:sz w:val="24"/>
          <w:highlight w:val="white"/>
          <w:lang w:eastAsia="zh-CN"/>
        </w:rPr>
        <w:t>1</w:t>
      </w:r>
      <w:r>
        <w:rPr>
          <w:rFonts w:ascii="宋体" w:hAnsi="宋体" w:cs="Arial" w:hint="eastAsia"/>
          <w:sz w:val="24"/>
          <w:highlight w:val="white"/>
          <w:lang w:eastAsia="zh-CN"/>
        </w:rPr>
        <w:t>份，上报监管机构</w:t>
      </w:r>
      <w:r>
        <w:rPr>
          <w:rFonts w:ascii="宋体" w:hAnsi="宋体" w:cs="Arial"/>
          <w:sz w:val="24"/>
          <w:highlight w:val="white"/>
          <w:lang w:eastAsia="zh-CN"/>
        </w:rPr>
        <w:t>1</w:t>
      </w:r>
      <w:r>
        <w:rPr>
          <w:rFonts w:ascii="宋体" w:hAnsi="宋体" w:cs="Arial" w:hint="eastAsia"/>
          <w:sz w:val="24"/>
          <w:highlight w:val="white"/>
          <w:lang w:eastAsia="zh-CN"/>
        </w:rPr>
        <w:t>份，每份具有同等的法律效力。</w:t>
      </w:r>
    </w:p>
    <w:p w:rsidR="00CB176C">
      <w:pPr>
        <w:pStyle w:val="Heading2"/>
        <w:spacing w:before="0" w:after="156" w:afterLines="50" w:line="288" w:lineRule="auto"/>
        <w:jc w:val="center"/>
        <w:rPr>
          <w:rFonts w:ascii="宋体" w:eastAsia="宋体" w:hAnsi="宋体"/>
          <w:sz w:val="30"/>
          <w:lang w:eastAsia="zh-CN"/>
        </w:rPr>
      </w:pPr>
      <w:bookmarkStart w:id="143" w:name="_Toc205489782"/>
      <w:bookmarkStart w:id="144" w:name="_Toc124325904"/>
      <w:r>
        <w:rPr>
          <w:rFonts w:ascii="宋体" w:eastAsia="宋体" w:hAnsi="宋体" w:hint="eastAsia"/>
          <w:sz w:val="30"/>
          <w:highlight w:val="white"/>
          <w:lang w:eastAsia="zh-CN"/>
        </w:rPr>
        <w:t>二十一、其他事项</w:t>
      </w:r>
      <w:bookmarkEnd w:id="143"/>
      <w:bookmarkEnd w:id="144"/>
    </w:p>
    <w:p w:rsidR="00CB176C">
      <w:pPr>
        <w:pStyle w:val="NormalIndent"/>
        <w:rPr>
          <w:lang w:eastAsia="zh-CN"/>
        </w:rPr>
      </w:pP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1</w:t>
      </w:r>
      <w:r>
        <w:rPr>
          <w:rFonts w:ascii="宋体" w:hAnsi="宋体" w:cs="Arial"/>
          <w:sz w:val="24"/>
          <w:highlight w:val="white"/>
          <w:lang w:eastAsia="zh-CN"/>
        </w:rPr>
        <w:t>.</w:t>
      </w:r>
      <w:r>
        <w:rPr>
          <w:rFonts w:ascii="宋体" w:hAnsi="宋体" w:cs="Arial" w:hint="eastAsia"/>
          <w:sz w:val="24"/>
          <w:highlight w:val="white"/>
          <w:lang w:eastAsia="zh-CN"/>
        </w:rPr>
        <w:t>如发生有权司法机关依法冻结基金份额持有人的基金份额时，基金管理人应予以配合，承担司法协助义务。</w:t>
      </w:r>
    </w:p>
    <w:p w:rsidR="00CB176C">
      <w:pPr>
        <w:snapToGrid w:val="0"/>
        <w:spacing w:after="156" w:afterLines="50" w:line="288" w:lineRule="auto"/>
        <w:ind w:firstLine="480" w:firstLineChars="200"/>
        <w:rPr>
          <w:rFonts w:ascii="宋体" w:hAnsi="宋体" w:cs="Arial"/>
          <w:sz w:val="24"/>
          <w:lang w:eastAsia="zh-CN"/>
        </w:rPr>
      </w:pPr>
      <w:bookmarkStart w:id="145" w:name="_Hlk79101541"/>
      <w:r>
        <w:rPr>
          <w:rFonts w:ascii="宋体" w:hAnsi="宋体" w:cs="Arial" w:hint="eastAsia"/>
          <w:sz w:val="24"/>
          <w:highlight w:val="white"/>
          <w:lang w:eastAsia="zh-CN"/>
        </w:rPr>
        <w:t>2</w:t>
      </w:r>
      <w:r>
        <w:rPr>
          <w:rFonts w:ascii="宋体" w:hAnsi="宋体" w:cs="Arial"/>
          <w:sz w:val="24"/>
          <w:highlight w:val="white"/>
          <w:lang w:eastAsia="zh-CN"/>
        </w:rPr>
        <w:t>.</w:t>
      </w:r>
      <w:r>
        <w:rPr>
          <w:bCs/>
          <w:sz w:val="24"/>
          <w:highlight w:val="white"/>
          <w:lang w:eastAsia="zh-CN"/>
        </w:rPr>
        <w:t>未经其他方事先书面同意</w:t>
      </w:r>
      <w:r>
        <w:rPr>
          <w:rFonts w:hint="eastAsia"/>
          <w:bCs/>
          <w:sz w:val="24"/>
          <w:highlight w:val="white"/>
          <w:lang w:eastAsia="zh-CN"/>
        </w:rPr>
        <w:t>，</w:t>
      </w:r>
      <w:r>
        <w:rPr>
          <w:bCs/>
          <w:sz w:val="24"/>
          <w:highlight w:val="white"/>
          <w:lang w:eastAsia="zh-CN"/>
        </w:rPr>
        <w:t>任何一方均不得让与或转让其在基金合同或基金合同任何部分项下的权利、义务或职责</w:t>
      </w:r>
      <w:r>
        <w:rPr>
          <w:rFonts w:hint="eastAsia"/>
          <w:bCs/>
          <w:sz w:val="24"/>
          <w:highlight w:val="white"/>
          <w:lang w:eastAsia="zh-CN"/>
        </w:rPr>
        <w:t>，法律法规另有规定的除外。</w:t>
      </w:r>
      <w:r>
        <w:rPr>
          <w:bCs/>
          <w:sz w:val="24"/>
          <w:highlight w:val="white"/>
          <w:lang w:eastAsia="zh-CN"/>
        </w:rPr>
        <w:t>基金管理人同意基金托管人在法律法规允许的情况下</w:t>
      </w:r>
      <w:r>
        <w:rPr>
          <w:rFonts w:hint="eastAsia"/>
          <w:bCs/>
          <w:sz w:val="24"/>
          <w:highlight w:val="white"/>
          <w:lang w:eastAsia="zh-CN"/>
        </w:rPr>
        <w:t>，</w:t>
      </w:r>
      <w:r>
        <w:rPr>
          <w:bCs/>
          <w:sz w:val="24"/>
          <w:highlight w:val="white"/>
          <w:lang w:eastAsia="zh-CN"/>
        </w:rPr>
        <w:t>有权向基金托管人</w:t>
      </w:r>
      <w:r>
        <w:rPr>
          <w:rFonts w:hint="eastAsia"/>
          <w:bCs/>
          <w:sz w:val="24"/>
          <w:highlight w:val="white"/>
          <w:lang w:eastAsia="zh-CN"/>
        </w:rPr>
        <w:t>（因公司的合并分立、设子公司承接相关业务等情况下）</w:t>
      </w:r>
      <w:r>
        <w:rPr>
          <w:bCs/>
          <w:sz w:val="24"/>
          <w:highlight w:val="white"/>
          <w:lang w:eastAsia="zh-CN"/>
        </w:rPr>
        <w:t>的关联方转让基金合同的权利或义务。</w:t>
      </w:r>
      <w:r>
        <w:rPr>
          <w:rFonts w:hint="eastAsia"/>
          <w:bCs/>
          <w:sz w:val="24"/>
          <w:highlight w:val="white"/>
          <w:lang w:eastAsia="zh-CN"/>
        </w:rPr>
        <w:t>前述变更事项无需召开基金份额持有人大会审议，但基金托管人应当按照法律法规和中国证监会的要求办理相关程序，并按照《信息披露办法》的规定在规定媒介公告。</w:t>
      </w:r>
      <w:r>
        <w:rPr>
          <w:rFonts w:ascii="宋体" w:hAnsi="宋体" w:cs="Arial" w:hint="eastAsia"/>
          <w:sz w:val="24"/>
          <w:highlight w:val="white"/>
          <w:lang w:eastAsia="zh-CN"/>
        </w:rPr>
        <w:t xml:space="preserve"> </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3</w:t>
      </w:r>
      <w:r>
        <w:rPr>
          <w:rFonts w:ascii="宋体" w:hAnsi="宋体" w:cs="Arial"/>
          <w:sz w:val="24"/>
          <w:highlight w:val="white"/>
          <w:lang w:eastAsia="zh-CN"/>
        </w:rPr>
        <w:t>.</w:t>
      </w:r>
      <w:r>
        <w:rPr>
          <w:rFonts w:ascii="宋体" w:hAnsi="宋体" w:cs="Arial"/>
          <w:sz w:val="24"/>
          <w:highlight w:val="white"/>
          <w:lang w:eastAsia="zh-CN"/>
        </w:rPr>
        <w:t>保密条款</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sz w:val="24"/>
          <w:highlight w:val="white"/>
          <w:lang w:eastAsia="zh-CN"/>
        </w:rPr>
        <w:t>各方应对其在履约过程中获悉的任何有关对方的非公开信息和资料保密</w:t>
      </w:r>
      <w:r>
        <w:rPr>
          <w:rFonts w:ascii="宋体" w:hAnsi="宋体" w:cs="Arial"/>
          <w:sz w:val="24"/>
          <w:highlight w:val="white"/>
          <w:lang w:eastAsia="zh-CN"/>
        </w:rPr>
        <w:t>,</w:t>
      </w:r>
      <w:r>
        <w:rPr>
          <w:rFonts w:ascii="宋体" w:hAnsi="宋体" w:cs="Arial"/>
          <w:sz w:val="24"/>
          <w:highlight w:val="white"/>
          <w:lang w:eastAsia="zh-CN"/>
        </w:rPr>
        <w:t>未经对方事先书面同意</w:t>
      </w:r>
      <w:r>
        <w:rPr>
          <w:rFonts w:ascii="宋体" w:hAnsi="宋体" w:cs="Arial"/>
          <w:sz w:val="24"/>
          <w:highlight w:val="white"/>
          <w:lang w:eastAsia="zh-CN"/>
        </w:rPr>
        <w:t>,</w:t>
      </w:r>
      <w:r>
        <w:rPr>
          <w:rFonts w:ascii="宋体" w:hAnsi="宋体" w:cs="Arial"/>
          <w:sz w:val="24"/>
          <w:highlight w:val="white"/>
          <w:lang w:eastAsia="zh-CN"/>
        </w:rPr>
        <w:t>不得用于本托管协议约定之外的目的</w:t>
      </w:r>
      <w:r>
        <w:rPr>
          <w:rFonts w:ascii="宋体" w:hAnsi="宋体" w:cs="Arial"/>
          <w:sz w:val="24"/>
          <w:highlight w:val="white"/>
          <w:lang w:eastAsia="zh-CN"/>
        </w:rPr>
        <w:t>,</w:t>
      </w:r>
      <w:r>
        <w:rPr>
          <w:rFonts w:ascii="宋体" w:hAnsi="宋体" w:cs="Arial"/>
          <w:sz w:val="24"/>
          <w:highlight w:val="white"/>
          <w:lang w:eastAsia="zh-CN"/>
        </w:rPr>
        <w:t>不得向任何第三方披露或以其他方式予以公开</w:t>
      </w:r>
      <w:r>
        <w:rPr>
          <w:rFonts w:ascii="宋体" w:hAnsi="宋体" w:cs="Arial"/>
          <w:sz w:val="24"/>
          <w:highlight w:val="white"/>
          <w:lang w:eastAsia="zh-CN"/>
        </w:rPr>
        <w:t>,</w:t>
      </w:r>
      <w:r>
        <w:rPr>
          <w:rFonts w:ascii="宋体" w:hAnsi="宋体" w:cs="Arial"/>
          <w:sz w:val="24"/>
          <w:highlight w:val="white"/>
          <w:lang w:eastAsia="zh-CN"/>
        </w:rPr>
        <w:t>但</w:t>
      </w:r>
      <w:r>
        <w:rPr>
          <w:rFonts w:ascii="宋体" w:hAnsi="宋体" w:cs="Arial" w:hint="eastAsia"/>
          <w:sz w:val="24"/>
          <w:highlight w:val="white"/>
          <w:lang w:eastAsia="zh-CN"/>
        </w:rPr>
        <w:t>相关</w:t>
      </w:r>
      <w:r>
        <w:rPr>
          <w:rFonts w:ascii="宋体" w:hAnsi="宋体" w:cs="Arial"/>
          <w:sz w:val="24"/>
          <w:highlight w:val="white"/>
          <w:lang w:eastAsia="zh-CN"/>
        </w:rPr>
        <w:t>法律法规或监管部门另有</w:t>
      </w:r>
      <w:r>
        <w:rPr>
          <w:rFonts w:ascii="宋体" w:hAnsi="宋体" w:cs="Arial"/>
          <w:sz w:val="24"/>
          <w:highlight w:val="white"/>
          <w:lang w:eastAsia="zh-CN"/>
        </w:rPr>
        <w:t>要求的除外。任何一方进一步承诺不为本托管协议以外的目的利用该等保密信息</w:t>
      </w:r>
      <w:r>
        <w:rPr>
          <w:rFonts w:ascii="宋体" w:hAnsi="宋体" w:cs="Arial"/>
          <w:sz w:val="24"/>
          <w:highlight w:val="white"/>
          <w:lang w:eastAsia="zh-CN"/>
        </w:rPr>
        <w:t>,</w:t>
      </w:r>
      <w:r>
        <w:rPr>
          <w:rFonts w:ascii="宋体" w:hAnsi="宋体" w:cs="Arial"/>
          <w:sz w:val="24"/>
          <w:highlight w:val="white"/>
          <w:lang w:eastAsia="zh-CN"/>
        </w:rPr>
        <w:t>但前提是该方可向由其任命或雇佣的雇员、董事、投资顾问、代理人或其他人员</w:t>
      </w:r>
      <w:r>
        <w:rPr>
          <w:rFonts w:ascii="宋体" w:hAnsi="宋体" w:cs="Arial"/>
          <w:sz w:val="24"/>
          <w:highlight w:val="white"/>
          <w:lang w:eastAsia="zh-CN"/>
        </w:rPr>
        <w:t>(</w:t>
      </w:r>
      <w:r>
        <w:rPr>
          <w:rFonts w:ascii="宋体" w:hAnsi="宋体" w:cs="Arial"/>
          <w:sz w:val="24"/>
          <w:highlight w:val="white"/>
          <w:lang w:eastAsia="zh-CN"/>
        </w:rPr>
        <w:t>统称</w:t>
      </w:r>
      <w:r>
        <w:rPr>
          <w:rFonts w:ascii="宋体" w:hAnsi="宋体" w:cs="Arial"/>
          <w:sz w:val="24"/>
          <w:highlight w:val="white"/>
          <w:lang w:eastAsia="zh-CN"/>
        </w:rPr>
        <w:t>“</w:t>
      </w:r>
      <w:r>
        <w:rPr>
          <w:rFonts w:ascii="宋体" w:hAnsi="宋体" w:cs="Arial"/>
          <w:sz w:val="24"/>
          <w:highlight w:val="white"/>
          <w:lang w:eastAsia="zh-CN"/>
        </w:rPr>
        <w:t>涉密人员</w:t>
      </w:r>
      <w:r>
        <w:rPr>
          <w:rFonts w:ascii="宋体" w:hAnsi="宋体" w:cs="Arial"/>
          <w:sz w:val="24"/>
          <w:highlight w:val="white"/>
          <w:lang w:eastAsia="zh-CN"/>
        </w:rPr>
        <w:t>”)</w:t>
      </w:r>
      <w:r>
        <w:rPr>
          <w:rFonts w:ascii="宋体" w:hAnsi="宋体" w:cs="Arial"/>
          <w:sz w:val="24"/>
          <w:highlight w:val="white"/>
          <w:lang w:eastAsia="zh-CN"/>
        </w:rPr>
        <w:t>在为实现本托管协议目的所必需的范围内披露该等信息</w:t>
      </w:r>
      <w:r>
        <w:rPr>
          <w:rFonts w:ascii="宋体" w:hAnsi="宋体" w:cs="Arial"/>
          <w:sz w:val="24"/>
          <w:highlight w:val="white"/>
          <w:lang w:eastAsia="zh-CN"/>
        </w:rPr>
        <w:t>,</w:t>
      </w:r>
      <w:r>
        <w:rPr>
          <w:rFonts w:ascii="宋体" w:hAnsi="宋体" w:cs="Arial"/>
          <w:sz w:val="24"/>
          <w:highlight w:val="white"/>
          <w:lang w:eastAsia="zh-CN"/>
        </w:rPr>
        <w:t>在该等情况下</w:t>
      </w:r>
      <w:r>
        <w:rPr>
          <w:rFonts w:ascii="宋体" w:hAnsi="宋体" w:cs="Arial"/>
          <w:sz w:val="24"/>
          <w:highlight w:val="white"/>
          <w:lang w:eastAsia="zh-CN"/>
        </w:rPr>
        <w:t>,</w:t>
      </w:r>
      <w:r>
        <w:rPr>
          <w:rFonts w:ascii="宋体" w:hAnsi="宋体" w:cs="Arial"/>
          <w:sz w:val="24"/>
          <w:highlight w:val="white"/>
          <w:lang w:eastAsia="zh-CN"/>
        </w:rPr>
        <w:t>该方应确保其涉密人员被告知本托管协议项下的保密义务并遵守该等义务。除非在以下情况下</w:t>
      </w:r>
      <w:r>
        <w:rPr>
          <w:rFonts w:ascii="宋体" w:hAnsi="宋体" w:cs="Arial"/>
          <w:sz w:val="24"/>
          <w:highlight w:val="white"/>
          <w:lang w:eastAsia="zh-CN"/>
        </w:rPr>
        <w:t>(</w:t>
      </w:r>
      <w:r>
        <w:rPr>
          <w:rFonts w:ascii="宋体" w:hAnsi="宋体" w:cs="Arial"/>
          <w:sz w:val="24"/>
          <w:highlight w:val="white"/>
          <w:lang w:eastAsia="zh-CN"/>
        </w:rPr>
        <w:t>在该等情况下</w:t>
      </w:r>
      <w:r>
        <w:rPr>
          <w:rFonts w:ascii="宋体" w:hAnsi="宋体" w:cs="Arial"/>
          <w:sz w:val="24"/>
          <w:highlight w:val="white"/>
          <w:lang w:eastAsia="zh-CN"/>
        </w:rPr>
        <w:t>,</w:t>
      </w:r>
      <w:r>
        <w:rPr>
          <w:rFonts w:ascii="宋体" w:hAnsi="宋体" w:cs="Arial"/>
          <w:sz w:val="24"/>
          <w:highlight w:val="white"/>
          <w:lang w:eastAsia="zh-CN"/>
        </w:rPr>
        <w:t>保密信息可以披露给第三方</w:t>
      </w:r>
      <w:r>
        <w:rPr>
          <w:rFonts w:ascii="宋体" w:hAnsi="宋体" w:cs="Arial"/>
          <w:sz w:val="24"/>
          <w:highlight w:val="white"/>
          <w:lang w:eastAsia="zh-CN"/>
        </w:rPr>
        <w:t>,</w:t>
      </w:r>
      <w:r>
        <w:rPr>
          <w:rFonts w:ascii="宋体" w:hAnsi="宋体" w:cs="Arial"/>
          <w:sz w:val="24"/>
          <w:highlight w:val="white"/>
          <w:lang w:eastAsia="zh-CN"/>
        </w:rPr>
        <w:t>包括第三方的关联方</w:t>
      </w:r>
      <w:r>
        <w:rPr>
          <w:rFonts w:ascii="宋体" w:hAnsi="宋体" w:cs="Arial"/>
          <w:sz w:val="24"/>
          <w:highlight w:val="white"/>
          <w:lang w:eastAsia="zh-CN"/>
        </w:rPr>
        <w:t xml:space="preserve">): </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w:t>
      </w:r>
      <w:r>
        <w:rPr>
          <w:rFonts w:ascii="宋体" w:hAnsi="宋体" w:cs="Arial" w:hint="eastAsia"/>
          <w:sz w:val="24"/>
          <w:highlight w:val="white"/>
          <w:lang w:eastAsia="zh-CN"/>
        </w:rPr>
        <w:t>1</w:t>
      </w:r>
      <w:r>
        <w:rPr>
          <w:rFonts w:ascii="宋体" w:hAnsi="宋体" w:cs="Arial" w:hint="eastAsia"/>
          <w:sz w:val="24"/>
          <w:highlight w:val="white"/>
          <w:lang w:eastAsia="zh-CN"/>
        </w:rPr>
        <w:t>）</w:t>
      </w:r>
      <w:r>
        <w:rPr>
          <w:rFonts w:ascii="宋体" w:hAnsi="宋体" w:cs="Arial"/>
          <w:sz w:val="24"/>
          <w:highlight w:val="white"/>
          <w:lang w:eastAsia="zh-CN"/>
        </w:rPr>
        <w:t>基金托管人在履行本托管协议项下的义务时</w:t>
      </w:r>
      <w:r>
        <w:rPr>
          <w:rFonts w:ascii="宋体" w:hAnsi="宋体" w:cs="Arial"/>
          <w:sz w:val="24"/>
          <w:highlight w:val="white"/>
          <w:lang w:eastAsia="zh-CN"/>
        </w:rPr>
        <w:t>,</w:t>
      </w:r>
      <w:r>
        <w:rPr>
          <w:rFonts w:ascii="宋体" w:hAnsi="宋体" w:cs="Arial"/>
          <w:sz w:val="24"/>
          <w:highlight w:val="white"/>
          <w:lang w:eastAsia="zh-CN"/>
        </w:rPr>
        <w:t>有必要由基金托管人披露</w:t>
      </w:r>
      <w:r>
        <w:rPr>
          <w:rFonts w:ascii="宋体" w:hAnsi="宋体" w:cs="Arial" w:hint="eastAsia"/>
          <w:sz w:val="24"/>
          <w:highlight w:val="white"/>
          <w:lang w:eastAsia="zh-CN"/>
        </w:rPr>
        <w:t>；</w:t>
      </w:r>
      <w:r>
        <w:rPr>
          <w:rFonts w:ascii="宋体" w:hAnsi="宋体" w:cs="Arial"/>
          <w:sz w:val="24"/>
          <w:highlight w:val="white"/>
          <w:lang w:eastAsia="zh-CN"/>
        </w:rPr>
        <w:t>或</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w:t>
      </w:r>
      <w:r>
        <w:rPr>
          <w:rFonts w:ascii="宋体" w:hAnsi="宋体" w:cs="Arial" w:hint="eastAsia"/>
          <w:sz w:val="24"/>
          <w:highlight w:val="white"/>
          <w:lang w:eastAsia="zh-CN"/>
        </w:rPr>
        <w:t>2</w:t>
      </w:r>
      <w:r>
        <w:rPr>
          <w:rFonts w:ascii="宋体" w:hAnsi="宋体" w:cs="Arial" w:hint="eastAsia"/>
          <w:sz w:val="24"/>
          <w:highlight w:val="white"/>
          <w:lang w:eastAsia="zh-CN"/>
        </w:rPr>
        <w:t>）</w:t>
      </w:r>
      <w:r>
        <w:rPr>
          <w:rFonts w:ascii="宋体" w:hAnsi="宋体" w:cs="Arial"/>
          <w:sz w:val="24"/>
          <w:highlight w:val="white"/>
          <w:lang w:eastAsia="zh-CN"/>
        </w:rPr>
        <w:t>如披露方有法律或监管项下的义务披露该等保密信息</w:t>
      </w:r>
      <w:r>
        <w:rPr>
          <w:rFonts w:ascii="宋体" w:hAnsi="宋体" w:cs="Arial"/>
          <w:sz w:val="24"/>
          <w:highlight w:val="white"/>
          <w:lang w:eastAsia="zh-CN"/>
        </w:rPr>
        <w:t>。</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4</w:t>
      </w:r>
      <w:r>
        <w:rPr>
          <w:rFonts w:ascii="宋体" w:hAnsi="宋体" w:cs="Arial"/>
          <w:sz w:val="24"/>
          <w:highlight w:val="white"/>
          <w:lang w:eastAsia="zh-CN"/>
        </w:rPr>
        <w:t>.</w:t>
      </w:r>
      <w:r>
        <w:rPr>
          <w:rFonts w:ascii="宋体" w:hAnsi="宋体" w:cs="Arial" w:hint="eastAsia"/>
          <w:sz w:val="24"/>
          <w:highlight w:val="white"/>
          <w:lang w:eastAsia="zh-CN"/>
        </w:rPr>
        <w:t>防范金融犯罪条款</w:t>
      </w:r>
      <w:r>
        <w:rPr>
          <w:rFonts w:ascii="宋体" w:hAnsi="宋体" w:cs="Arial"/>
          <w:sz w:val="24"/>
          <w:highlight w:val="white"/>
          <w:lang w:eastAsia="zh-CN"/>
        </w:rPr>
        <w:t xml:space="preserve"> </w:t>
      </w: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基金管理人应遵守中华人民共和国反洗钱法律法规，不参与涉嫌洗钱、恐怖融资、扩散融资等违</w:t>
      </w:r>
      <w:r>
        <w:rPr>
          <w:rFonts w:ascii="宋体" w:hAnsi="宋体" w:cs="Arial" w:hint="eastAsia"/>
          <w:sz w:val="24"/>
          <w:highlight w:val="white"/>
          <w:lang w:eastAsia="zh-CN"/>
        </w:rPr>
        <w:t>法犯罪活动；主动配合基金托管人开展客户身份识别与尽职调查，提供真实、准确、完整客户资料，遵守基金托管人反洗钱、反恐怖融资等防范金融犯罪相关管理规定。对具备合理理由怀疑涉嫌洗钱、恐怖融资等金融犯罪的客户，基金托管人将按照适用的法律法规采取必要管控措施。</w:t>
      </w:r>
      <w:r>
        <w:rPr>
          <w:rFonts w:ascii="宋体" w:hAnsi="宋体" w:cs="Arial"/>
          <w:sz w:val="24"/>
          <w:highlight w:val="white"/>
          <w:lang w:eastAsia="zh-CN"/>
        </w:rPr>
        <w:t xml:space="preserve"> </w:t>
      </w:r>
    </w:p>
    <w:p w:rsidR="00CB176C">
      <w:pPr>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5</w:t>
      </w:r>
      <w:r>
        <w:rPr>
          <w:rFonts w:ascii="宋体" w:hAnsi="宋体" w:cs="Arial"/>
          <w:sz w:val="24"/>
          <w:highlight w:val="white"/>
          <w:lang w:eastAsia="zh-CN"/>
        </w:rPr>
        <w:t>.</w:t>
      </w:r>
      <w:r>
        <w:rPr>
          <w:rFonts w:ascii="宋体" w:hAnsi="宋体" w:cs="Arial" w:hint="eastAsia"/>
          <w:sz w:val="24"/>
          <w:highlight w:val="white"/>
          <w:lang w:eastAsia="zh-CN"/>
        </w:rPr>
        <w:t>除本托管协议有明确定义外，本托管协议的用语定义适用基金合同的约定。本托管协议未尽事宜，当事人依据基金合同、有关法律法规等规定协商办理。</w:t>
      </w:r>
      <w:bookmarkEnd w:id="145"/>
    </w:p>
    <w:p w:rsidR="00CB176C">
      <w:pPr>
        <w:snapToGrid w:val="0"/>
        <w:spacing w:after="156" w:afterLines="50" w:line="288" w:lineRule="auto"/>
        <w:rPr>
          <w:rFonts w:ascii="宋体" w:hAnsi="宋体"/>
          <w:b/>
          <w:bCs/>
          <w:lang w:eastAsia="zh-CN"/>
        </w:rPr>
      </w:pPr>
      <w:bookmarkStart w:id="146" w:name="_Toc124325905"/>
    </w:p>
    <w:p w:rsidR="00CB176C">
      <w:pPr>
        <w:pStyle w:val="Heading2"/>
        <w:spacing w:before="0" w:after="156" w:afterLines="50" w:line="288" w:lineRule="auto"/>
        <w:jc w:val="center"/>
        <w:rPr>
          <w:rFonts w:ascii="宋体" w:eastAsia="宋体" w:hAnsi="宋体"/>
          <w:sz w:val="30"/>
          <w:lang w:eastAsia="zh-CN"/>
        </w:rPr>
      </w:pPr>
      <w:bookmarkStart w:id="147" w:name="_Toc205489783"/>
      <w:r>
        <w:rPr>
          <w:rFonts w:ascii="宋体" w:eastAsia="宋体" w:hAnsi="宋体" w:hint="eastAsia"/>
          <w:sz w:val="30"/>
          <w:highlight w:val="white"/>
          <w:lang w:eastAsia="zh-CN"/>
        </w:rPr>
        <w:t>二十二、托管协议的签订</w:t>
      </w:r>
      <w:bookmarkEnd w:id="146"/>
      <w:bookmarkEnd w:id="147"/>
    </w:p>
    <w:p w:rsidR="00CB176C">
      <w:pPr>
        <w:pStyle w:val="NormalIndent"/>
        <w:rPr>
          <w:lang w:eastAsia="zh-CN"/>
        </w:rPr>
      </w:pPr>
    </w:p>
    <w:p w:rsidR="00CB176C">
      <w:pPr>
        <w:snapToGrid w:val="0"/>
        <w:spacing w:after="156" w:afterLines="50" w:line="288" w:lineRule="auto"/>
        <w:ind w:firstLine="480" w:firstLineChars="200"/>
        <w:rPr>
          <w:rFonts w:ascii="宋体" w:hAnsi="宋体" w:cs="Arial"/>
          <w:sz w:val="24"/>
          <w:lang w:eastAsia="zh-CN"/>
        </w:rPr>
      </w:pPr>
      <w:r>
        <w:rPr>
          <w:rFonts w:ascii="宋体" w:hAnsi="宋体" w:cs="Arial" w:hint="eastAsia"/>
          <w:sz w:val="24"/>
          <w:highlight w:val="white"/>
          <w:lang w:eastAsia="zh-CN"/>
        </w:rPr>
        <w:t>本托管协议经基金管理人和基金托管人认可后，由该双方当事人在本托管协议上加盖公章，并由各自的法定代表人或授权代理人签字或盖章，并注明本托管协议的签订地点和签订日期。</w:t>
      </w:r>
    </w:p>
    <w:p w:rsidR="00CB176C">
      <w:pPr>
        <w:snapToGrid w:val="0"/>
        <w:spacing w:after="156" w:afterLines="50" w:line="288" w:lineRule="auto"/>
        <w:ind w:firstLine="480" w:firstLineChars="200"/>
        <w:rPr>
          <w:rFonts w:ascii="宋体" w:hAnsi="宋体" w:cs="Arial"/>
          <w:sz w:val="24"/>
          <w:lang w:eastAsia="zh-CN"/>
        </w:rPr>
        <w:sectPr>
          <w:headerReference w:type="default" r:id="rId7"/>
          <w:footerReference w:type="default" r:id="rId8"/>
          <w:pgSz w:w="11906" w:h="16838"/>
          <w:pgMar w:top="1418" w:right="1701" w:bottom="1418" w:left="1701" w:header="851" w:footer="992" w:gutter="0"/>
          <w:pgNumType w:start="1"/>
          <w:cols w:space="425"/>
          <w:docGrid w:type="lines" w:linePitch="312"/>
        </w:sectPr>
      </w:pPr>
    </w:p>
    <w:p w:rsidR="00CB176C">
      <w:pPr>
        <w:spacing w:line="360" w:lineRule="auto"/>
        <w:ind w:right="26"/>
        <w:rPr>
          <w:rFonts w:ascii="宋体" w:hAnsi="宋体" w:cs="宋体"/>
          <w:sz w:val="24"/>
          <w:lang w:eastAsia="zh-CN"/>
        </w:rPr>
      </w:pPr>
      <w:r>
        <w:rPr>
          <w:rFonts w:ascii="宋体" w:hAnsi="宋体" w:cs="宋体" w:hint="eastAsia"/>
          <w:sz w:val="24"/>
          <w:highlight w:val="white"/>
          <w:lang w:eastAsia="zh-CN"/>
        </w:rPr>
        <w:t>本页无正文，为《</w:t>
      </w:r>
      <w:r>
        <w:rPr>
          <w:rFonts w:ascii="宋体" w:hAnsi="宋体" w:cs="宋体" w:hint="eastAsia"/>
          <w:sz w:val="24"/>
          <w:lang w:eastAsia="zh-CN"/>
        </w:rPr>
        <w:t>易方达港股通消费混合型证券投资基金</w:t>
      </w:r>
      <w:r>
        <w:rPr>
          <w:rFonts w:ascii="宋体" w:hAnsi="宋体" w:cs="宋体" w:hint="eastAsia"/>
          <w:sz w:val="24"/>
          <w:highlight w:val="white"/>
          <w:lang w:eastAsia="zh-CN"/>
        </w:rPr>
        <w:t>托管协议</w:t>
      </w:r>
      <w:r>
        <w:rPr>
          <w:rFonts w:ascii="宋体" w:hAnsi="宋体" w:cs="宋体" w:hint="eastAsia"/>
          <w:sz w:val="24"/>
          <w:highlight w:val="white"/>
          <w:lang w:eastAsia="zh-CN"/>
        </w:rPr>
        <w:t>》的签字盖章页。</w:t>
      </w:r>
    </w:p>
    <w:p w:rsidR="00CB176C">
      <w:pPr>
        <w:spacing w:line="360" w:lineRule="auto"/>
        <w:rPr>
          <w:rFonts w:ascii="宋体" w:hAnsi="宋体" w:cs="宋体"/>
          <w:sz w:val="24"/>
          <w:lang w:eastAsia="zh-CN"/>
        </w:rPr>
      </w:pPr>
    </w:p>
    <w:p w:rsidR="00CB176C">
      <w:pPr>
        <w:spacing w:line="360" w:lineRule="auto"/>
        <w:ind w:right="26"/>
        <w:rPr>
          <w:rFonts w:ascii="宋体" w:hAnsi="宋体" w:cs="宋体"/>
          <w:sz w:val="24"/>
          <w:lang w:eastAsia="zh-CN"/>
        </w:rPr>
      </w:pPr>
      <w:r>
        <w:rPr>
          <w:rFonts w:ascii="宋体" w:hAnsi="宋体" w:cs="宋体" w:hint="eastAsia"/>
          <w:sz w:val="24"/>
          <w:highlight w:val="white"/>
          <w:lang w:eastAsia="zh-CN"/>
        </w:rPr>
        <w:t>《托管协议》当事人盖章及法定代表人或授权代表签</w:t>
      </w:r>
      <w:r>
        <w:rPr>
          <w:rFonts w:ascii="宋体" w:hAnsi="宋体" w:cs="宋体"/>
          <w:sz w:val="24"/>
          <w:highlight w:val="white"/>
          <w:lang w:eastAsia="zh-CN"/>
        </w:rPr>
        <w:t>字</w:t>
      </w:r>
      <w:r>
        <w:rPr>
          <w:rFonts w:ascii="宋体" w:hAnsi="宋体" w:cs="宋体"/>
          <w:sz w:val="24"/>
          <w:highlight w:val="white"/>
          <w:lang w:eastAsia="zh-CN"/>
        </w:rPr>
        <w:t>/</w:t>
      </w:r>
      <w:r>
        <w:rPr>
          <w:rFonts w:ascii="宋体" w:hAnsi="宋体" w:cs="宋体"/>
          <w:sz w:val="24"/>
          <w:highlight w:val="white"/>
          <w:lang w:eastAsia="zh-CN"/>
        </w:rPr>
        <w:t>签章、签订地、签订日</w:t>
      </w:r>
    </w:p>
    <w:p w:rsidR="00CB176C">
      <w:pPr>
        <w:spacing w:line="360" w:lineRule="auto"/>
        <w:ind w:right="26"/>
        <w:rPr>
          <w:rFonts w:ascii="宋体" w:hAnsi="宋体" w:cs="宋体"/>
          <w:sz w:val="24"/>
          <w:lang w:eastAsia="zh-CN"/>
        </w:rPr>
      </w:pPr>
    </w:p>
    <w:p w:rsidR="00CB176C">
      <w:pPr>
        <w:spacing w:line="360" w:lineRule="auto"/>
        <w:ind w:right="26"/>
        <w:rPr>
          <w:rFonts w:ascii="宋体" w:hAnsi="宋体" w:cs="宋体"/>
          <w:sz w:val="24"/>
          <w:lang w:eastAsia="zh-CN"/>
        </w:rPr>
      </w:pPr>
      <w:r>
        <w:rPr>
          <w:rFonts w:ascii="宋体" w:hAnsi="宋体" w:cs="宋体" w:hint="eastAsia"/>
          <w:sz w:val="24"/>
          <w:highlight w:val="white"/>
          <w:lang w:eastAsia="zh-CN"/>
        </w:rPr>
        <w:t>基金管理人：易方达基金管理有限公司（章）</w:t>
      </w:r>
    </w:p>
    <w:p w:rsidR="00CB176C">
      <w:pPr>
        <w:spacing w:line="360" w:lineRule="auto"/>
        <w:ind w:right="26"/>
        <w:rPr>
          <w:rFonts w:ascii="宋体" w:hAnsi="宋体" w:cs="宋体"/>
          <w:sz w:val="24"/>
          <w:lang w:eastAsia="zh-CN"/>
        </w:rPr>
      </w:pPr>
    </w:p>
    <w:p w:rsidR="00CB176C">
      <w:pPr>
        <w:spacing w:line="360" w:lineRule="auto"/>
        <w:ind w:right="26"/>
        <w:rPr>
          <w:rFonts w:ascii="宋体" w:hAnsi="宋体" w:cs="宋体"/>
          <w:sz w:val="24"/>
          <w:lang w:eastAsia="zh-CN"/>
        </w:rPr>
      </w:pPr>
    </w:p>
    <w:p w:rsidR="00CB176C">
      <w:pPr>
        <w:spacing w:line="360" w:lineRule="auto"/>
        <w:ind w:right="26"/>
        <w:rPr>
          <w:rFonts w:ascii="宋体" w:hAnsi="宋体" w:cs="宋体"/>
          <w:sz w:val="24"/>
          <w:lang w:eastAsia="zh-CN"/>
        </w:rPr>
      </w:pPr>
    </w:p>
    <w:p w:rsidR="00CB176C">
      <w:pPr>
        <w:spacing w:line="360" w:lineRule="auto"/>
        <w:ind w:right="26"/>
        <w:rPr>
          <w:rFonts w:ascii="宋体" w:hAnsi="宋体" w:cs="宋体"/>
          <w:sz w:val="24"/>
          <w:lang w:eastAsia="zh-CN"/>
        </w:rPr>
      </w:pPr>
      <w:r>
        <w:rPr>
          <w:rFonts w:ascii="宋体" w:hAnsi="宋体" w:cs="宋体" w:hint="eastAsia"/>
          <w:sz w:val="24"/>
          <w:highlight w:val="white"/>
          <w:lang w:eastAsia="zh-CN"/>
        </w:rPr>
        <w:t>法定代表人或授权代表（签字</w:t>
      </w:r>
      <w:r>
        <w:rPr>
          <w:rFonts w:ascii="宋体" w:hAnsi="宋体" w:cs="宋体" w:hint="eastAsia"/>
          <w:sz w:val="24"/>
          <w:highlight w:val="white"/>
          <w:lang w:eastAsia="zh-CN"/>
        </w:rPr>
        <w:t>/</w:t>
      </w:r>
      <w:r>
        <w:rPr>
          <w:rFonts w:ascii="宋体" w:hAnsi="宋体" w:cs="宋体" w:hint="eastAsia"/>
          <w:sz w:val="24"/>
          <w:highlight w:val="white"/>
          <w:lang w:eastAsia="zh-CN"/>
        </w:rPr>
        <w:t>签章）：</w:t>
      </w:r>
    </w:p>
    <w:p w:rsidR="00CB176C">
      <w:pPr>
        <w:spacing w:line="360" w:lineRule="auto"/>
        <w:ind w:right="26"/>
        <w:rPr>
          <w:rFonts w:ascii="宋体" w:hAnsi="宋体" w:cs="宋体"/>
          <w:sz w:val="24"/>
          <w:lang w:eastAsia="zh-CN"/>
        </w:rPr>
      </w:pPr>
    </w:p>
    <w:p w:rsidR="00CB176C">
      <w:pPr>
        <w:spacing w:after="156" w:afterLines="50" w:line="288" w:lineRule="auto"/>
        <w:ind w:right="26"/>
        <w:rPr>
          <w:rFonts w:ascii="宋体" w:hAnsi="宋体"/>
          <w:sz w:val="24"/>
          <w:lang w:eastAsia="zh-CN"/>
        </w:rPr>
      </w:pPr>
      <w:r>
        <w:rPr>
          <w:rFonts w:ascii="宋体" w:hAnsi="宋体" w:hint="eastAsia"/>
          <w:sz w:val="24"/>
          <w:highlight w:val="white"/>
          <w:lang w:eastAsia="zh-CN"/>
        </w:rPr>
        <w:t xml:space="preserve">                  </w:t>
      </w:r>
    </w:p>
    <w:p w:rsidR="00CB176C">
      <w:pPr>
        <w:spacing w:after="156" w:afterLines="50" w:line="288" w:lineRule="auto"/>
        <w:ind w:right="26"/>
        <w:rPr>
          <w:rFonts w:ascii="宋体" w:hAnsi="宋体"/>
          <w:sz w:val="24"/>
          <w:lang w:eastAsia="zh-CN"/>
        </w:rPr>
      </w:pPr>
    </w:p>
    <w:p w:rsidR="00CB176C">
      <w:pPr>
        <w:spacing w:after="156" w:afterLines="50" w:line="288" w:lineRule="auto"/>
        <w:ind w:right="26"/>
        <w:rPr>
          <w:rFonts w:ascii="宋体" w:hAnsi="宋体"/>
          <w:sz w:val="24"/>
          <w:lang w:eastAsia="zh-CN"/>
        </w:rPr>
      </w:pPr>
    </w:p>
    <w:p w:rsidR="00CB176C">
      <w:pPr>
        <w:spacing w:after="156" w:afterLines="50" w:line="288" w:lineRule="auto"/>
        <w:ind w:right="26"/>
        <w:rPr>
          <w:rFonts w:ascii="宋体" w:hAnsi="宋体"/>
          <w:sz w:val="24"/>
          <w:lang w:eastAsia="zh-CN"/>
        </w:rPr>
      </w:pPr>
    </w:p>
    <w:p w:rsidR="00CB176C">
      <w:pPr>
        <w:spacing w:after="156" w:afterLines="50" w:line="288" w:lineRule="auto"/>
        <w:ind w:right="26"/>
        <w:rPr>
          <w:rFonts w:ascii="宋体" w:hAnsi="宋体"/>
          <w:sz w:val="24"/>
          <w:lang w:eastAsia="zh-CN"/>
        </w:rPr>
      </w:pPr>
      <w:r>
        <w:rPr>
          <w:rFonts w:ascii="宋体" w:hAnsi="宋体" w:hint="eastAsia"/>
          <w:sz w:val="24"/>
          <w:highlight w:val="white"/>
          <w:lang w:eastAsia="zh-CN"/>
        </w:rPr>
        <w:t>基金托管人：</w:t>
      </w:r>
      <w:r>
        <w:rPr>
          <w:rFonts w:ascii="宋体" w:hAnsi="宋体"/>
          <w:sz w:val="24"/>
          <w:highlight w:val="white"/>
          <w:lang w:eastAsia="zh-CN"/>
        </w:rPr>
        <w:t>汇丰银行（中国）有限公司</w:t>
      </w:r>
      <w:r>
        <w:rPr>
          <w:rFonts w:ascii="宋体" w:hAnsi="宋体" w:hint="eastAsia"/>
          <w:sz w:val="24"/>
          <w:highlight w:val="white"/>
          <w:lang w:eastAsia="zh-CN"/>
        </w:rPr>
        <w:t>（章）</w:t>
      </w:r>
    </w:p>
    <w:p w:rsidR="00CB176C">
      <w:pPr>
        <w:spacing w:after="156" w:afterLines="50" w:line="288" w:lineRule="auto"/>
        <w:ind w:right="26"/>
        <w:rPr>
          <w:rFonts w:ascii="宋体" w:hAnsi="宋体"/>
          <w:sz w:val="24"/>
          <w:lang w:eastAsia="zh-CN"/>
        </w:rPr>
      </w:pPr>
    </w:p>
    <w:p w:rsidR="00CB176C">
      <w:pPr>
        <w:spacing w:after="156" w:afterLines="50" w:line="288" w:lineRule="auto"/>
        <w:ind w:right="26"/>
        <w:rPr>
          <w:rFonts w:ascii="宋体" w:hAnsi="宋体"/>
          <w:sz w:val="24"/>
          <w:lang w:eastAsia="zh-CN"/>
        </w:rPr>
      </w:pPr>
    </w:p>
    <w:p w:rsidR="00CB176C">
      <w:pPr>
        <w:spacing w:after="156" w:afterLines="50" w:line="288" w:lineRule="auto"/>
        <w:ind w:right="26"/>
        <w:rPr>
          <w:rFonts w:ascii="宋体" w:hAnsi="宋体"/>
          <w:sz w:val="24"/>
          <w:lang w:eastAsia="zh-CN"/>
        </w:rPr>
      </w:pPr>
    </w:p>
    <w:p w:rsidR="00CB176C">
      <w:pPr>
        <w:spacing w:after="156" w:afterLines="50" w:line="288" w:lineRule="auto"/>
        <w:ind w:right="26"/>
        <w:rPr>
          <w:rFonts w:ascii="宋体" w:hAnsi="宋体"/>
          <w:sz w:val="24"/>
          <w:lang w:eastAsia="zh-CN"/>
        </w:rPr>
      </w:pPr>
    </w:p>
    <w:p w:rsidR="00CB176C">
      <w:pPr>
        <w:spacing w:line="360" w:lineRule="auto"/>
        <w:ind w:right="26"/>
        <w:rPr>
          <w:rFonts w:ascii="宋体" w:hAnsi="宋体" w:cs="宋体"/>
          <w:sz w:val="24"/>
          <w:lang w:eastAsia="zh-CN"/>
        </w:rPr>
      </w:pPr>
      <w:r>
        <w:rPr>
          <w:rFonts w:ascii="宋体" w:hAnsi="宋体" w:hint="eastAsia"/>
          <w:sz w:val="24"/>
          <w:highlight w:val="white"/>
          <w:lang w:eastAsia="zh-CN"/>
        </w:rPr>
        <w:t>法定代表人或授权代表</w:t>
      </w:r>
      <w:r>
        <w:rPr>
          <w:rFonts w:ascii="宋体" w:hAnsi="宋体" w:cs="宋体" w:hint="eastAsia"/>
          <w:sz w:val="24"/>
          <w:highlight w:val="white"/>
          <w:lang w:eastAsia="zh-CN"/>
        </w:rPr>
        <w:t>（签字</w:t>
      </w:r>
      <w:r>
        <w:rPr>
          <w:rFonts w:ascii="宋体" w:hAnsi="宋体" w:cs="宋体" w:hint="eastAsia"/>
          <w:sz w:val="24"/>
          <w:highlight w:val="white"/>
          <w:lang w:eastAsia="zh-CN"/>
        </w:rPr>
        <w:t>/</w:t>
      </w:r>
      <w:r>
        <w:rPr>
          <w:rFonts w:ascii="宋体" w:hAnsi="宋体" w:cs="宋体" w:hint="eastAsia"/>
          <w:sz w:val="24"/>
          <w:highlight w:val="white"/>
          <w:lang w:eastAsia="zh-CN"/>
        </w:rPr>
        <w:t>签章）：</w:t>
      </w:r>
    </w:p>
    <w:p w:rsidR="00CB176C">
      <w:pPr>
        <w:spacing w:after="156" w:afterLines="50" w:line="288" w:lineRule="auto"/>
        <w:ind w:right="26"/>
        <w:rPr>
          <w:rFonts w:ascii="宋体" w:hAnsi="宋体"/>
          <w:sz w:val="24"/>
          <w:lang w:eastAsia="zh-CN"/>
        </w:rPr>
      </w:pPr>
      <w:r>
        <w:rPr>
          <w:rFonts w:ascii="宋体" w:hAnsi="宋体" w:hint="eastAsia"/>
          <w:sz w:val="24"/>
          <w:highlight w:val="white"/>
          <w:lang w:eastAsia="zh-CN"/>
        </w:rPr>
        <w:t xml:space="preserve">                   </w:t>
      </w:r>
    </w:p>
    <w:p w:rsidR="00CB176C">
      <w:pPr>
        <w:spacing w:after="156" w:afterLines="50" w:line="288" w:lineRule="auto"/>
        <w:ind w:right="26"/>
        <w:rPr>
          <w:rFonts w:ascii="宋体" w:hAnsi="宋体"/>
          <w:b/>
          <w:sz w:val="24"/>
          <w:szCs w:val="28"/>
          <w:lang w:eastAsia="zh-CN"/>
        </w:rPr>
      </w:pPr>
    </w:p>
    <w:p w:rsidR="00CB176C">
      <w:pPr>
        <w:spacing w:after="156" w:afterLines="50" w:line="288" w:lineRule="auto"/>
        <w:ind w:right="26"/>
        <w:rPr>
          <w:rFonts w:ascii="宋体" w:hAnsi="宋体"/>
          <w:b/>
          <w:sz w:val="24"/>
          <w:szCs w:val="28"/>
          <w:lang w:eastAsia="zh-CN"/>
        </w:rPr>
      </w:pPr>
    </w:p>
    <w:p w:rsidR="00CB176C">
      <w:pPr>
        <w:spacing w:after="156" w:afterLines="50" w:line="288" w:lineRule="auto"/>
        <w:ind w:right="26"/>
        <w:rPr>
          <w:rFonts w:ascii="宋体" w:hAnsi="宋体"/>
          <w:b/>
          <w:sz w:val="24"/>
          <w:szCs w:val="28"/>
          <w:lang w:eastAsia="zh-CN"/>
        </w:rPr>
      </w:pPr>
    </w:p>
    <w:p w:rsidR="00CB176C">
      <w:pPr>
        <w:spacing w:after="156" w:afterLines="50" w:line="288" w:lineRule="auto"/>
        <w:ind w:right="26"/>
        <w:rPr>
          <w:rFonts w:ascii="宋体" w:hAnsi="宋体"/>
          <w:sz w:val="24"/>
          <w:szCs w:val="28"/>
          <w:lang w:eastAsia="zh-CN"/>
        </w:rPr>
      </w:pPr>
      <w:r>
        <w:rPr>
          <w:rFonts w:ascii="宋体" w:hAnsi="宋体" w:hint="eastAsia"/>
          <w:sz w:val="24"/>
          <w:szCs w:val="28"/>
          <w:highlight w:val="white"/>
          <w:lang w:eastAsia="zh-CN"/>
        </w:rPr>
        <w:t>签订地点：</w:t>
      </w:r>
    </w:p>
    <w:p w:rsidR="00CB176C">
      <w:pPr>
        <w:spacing w:after="156" w:afterLines="50" w:line="288" w:lineRule="auto"/>
        <w:ind w:right="26"/>
        <w:rPr>
          <w:rFonts w:ascii="宋体" w:hAnsi="宋体"/>
          <w:sz w:val="24"/>
          <w:szCs w:val="28"/>
          <w:lang w:eastAsia="zh-CN"/>
        </w:rPr>
      </w:pPr>
      <w:r>
        <w:rPr>
          <w:rFonts w:ascii="宋体" w:hAnsi="宋体" w:hint="eastAsia"/>
          <w:sz w:val="24"/>
          <w:szCs w:val="28"/>
          <w:highlight w:val="white"/>
          <w:lang w:eastAsia="zh-CN"/>
        </w:rPr>
        <w:t>签</w:t>
      </w:r>
      <w:r>
        <w:rPr>
          <w:rFonts w:ascii="宋体" w:hAnsi="宋体"/>
          <w:sz w:val="24"/>
          <w:szCs w:val="28"/>
          <w:highlight w:val="white"/>
          <w:lang w:eastAsia="zh-CN"/>
        </w:rPr>
        <w:t xml:space="preserve"> </w:t>
      </w:r>
      <w:r>
        <w:rPr>
          <w:rFonts w:ascii="宋体" w:hAnsi="宋体" w:hint="eastAsia"/>
          <w:sz w:val="24"/>
          <w:szCs w:val="28"/>
          <w:highlight w:val="white"/>
          <w:lang w:eastAsia="zh-CN"/>
        </w:rPr>
        <w:t>订</w:t>
      </w:r>
      <w:r>
        <w:rPr>
          <w:rFonts w:ascii="宋体" w:hAnsi="宋体"/>
          <w:sz w:val="24"/>
          <w:szCs w:val="28"/>
          <w:highlight w:val="white"/>
          <w:lang w:eastAsia="zh-CN"/>
        </w:rPr>
        <w:t xml:space="preserve"> </w:t>
      </w:r>
      <w:r>
        <w:rPr>
          <w:rFonts w:ascii="宋体" w:hAnsi="宋体" w:hint="eastAsia"/>
          <w:sz w:val="24"/>
          <w:szCs w:val="28"/>
          <w:highlight w:val="white"/>
          <w:lang w:eastAsia="zh-CN"/>
        </w:rPr>
        <w:t>日：</w:t>
      </w:r>
      <w:r>
        <w:rPr>
          <w:rFonts w:ascii="宋体" w:hAnsi="宋体" w:hint="eastAsia"/>
          <w:sz w:val="24"/>
          <w:szCs w:val="28"/>
          <w:highlight w:val="white"/>
          <w:lang w:eastAsia="zh-CN"/>
        </w:rPr>
        <w:t xml:space="preserve">   </w:t>
      </w:r>
      <w:r>
        <w:rPr>
          <w:rFonts w:ascii="宋体" w:hAnsi="宋体" w:hint="eastAsia"/>
          <w:sz w:val="24"/>
          <w:szCs w:val="28"/>
          <w:highlight w:val="white"/>
          <w:lang w:eastAsia="zh-CN"/>
        </w:rPr>
        <w:t>年</w:t>
      </w:r>
      <w:r>
        <w:rPr>
          <w:rFonts w:ascii="宋体" w:hAnsi="宋体" w:hint="eastAsia"/>
          <w:sz w:val="24"/>
          <w:szCs w:val="28"/>
          <w:highlight w:val="white"/>
          <w:lang w:eastAsia="zh-CN"/>
        </w:rPr>
        <w:t xml:space="preserve">  </w:t>
      </w:r>
      <w:r>
        <w:rPr>
          <w:rFonts w:ascii="宋体" w:hAnsi="宋体" w:hint="eastAsia"/>
          <w:sz w:val="24"/>
          <w:szCs w:val="28"/>
          <w:highlight w:val="white"/>
          <w:lang w:eastAsia="zh-CN"/>
        </w:rPr>
        <w:t>月</w:t>
      </w:r>
      <w:r>
        <w:rPr>
          <w:rFonts w:ascii="宋体" w:hAnsi="宋体" w:hint="eastAsia"/>
          <w:sz w:val="24"/>
          <w:szCs w:val="28"/>
          <w:highlight w:val="white"/>
          <w:lang w:eastAsia="zh-CN"/>
        </w:rPr>
        <w:t xml:space="preserve">  </w:t>
      </w:r>
      <w:r>
        <w:rPr>
          <w:rFonts w:ascii="宋体" w:hAnsi="宋体" w:hint="eastAsia"/>
          <w:sz w:val="24"/>
          <w:szCs w:val="28"/>
          <w:highlight w:val="white"/>
          <w:lang w:eastAsia="zh-CN"/>
        </w:rPr>
        <w:t>日</w:t>
      </w:r>
    </w:p>
    <w:p w:rsidR="00CB176C">
      <w:pPr>
        <w:rPr>
          <w:lang w:eastAsia="zh-CN"/>
        </w:rPr>
      </w:pPr>
    </w:p>
    <w:sectPr>
      <w:headerReference w:type="default" r:id="rId9"/>
      <w:footerReference w:type="default" r:id="rId10"/>
      <w:pgSz w:w="11906" w:h="16838"/>
      <w:pgMar w:top="1418" w:right="1701" w:bottom="1418"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汉仪仿宋KW"/>
    <w:charset w:val="86"/>
    <w:family w:val="modern"/>
    <w:pitch w:val="default"/>
    <w:sig w:usb0="00000000" w:usb1="00000000" w:usb2="00000000" w:usb3="00000000" w:csb0="00040000" w:csb1="00000000"/>
  </w:font>
  <w:font w:name="方正仿宋简体">
    <w:altName w:val="汉仪仿宋KW"/>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176C">
    <w:pPr>
      <w:pStyle w:val="Footer"/>
      <w:snapToGrid/>
      <w:rPr>
        <w:rStyle w:val="PageNumber"/>
      </w:rPr>
    </w:pPr>
    <w:r>
      <w:rPr>
        <w:rStyle w:val="PageNumber"/>
      </w:rPr>
      <w:fldChar w:fldCharType="begin"/>
    </w:r>
    <w:r>
      <w:rPr>
        <w:rStyle w:val="PageNumber"/>
        <w:highlight w:val="white"/>
      </w:rPr>
      <w:instrText xml:space="preserve">PAGE  </w:instrText>
    </w:r>
    <w:r>
      <w:rPr>
        <w:rStyle w:val="PageNumber"/>
      </w:rPr>
      <w:fldChar w:fldCharType="separate"/>
    </w:r>
    <w:r>
      <w:rPr>
        <w:rStyle w:val="PageNumber"/>
      </w:rPr>
      <w:fldChar w:fldCharType="end"/>
    </w:r>
  </w:p>
  <w:p w:rsidR="00CB176C">
    <w:pPr>
      <w:pStyle w:val="Footer"/>
      <w:snapToGri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176C">
    <w:pPr>
      <w:pStyle w:val="Footer"/>
      <w:snapToGrid/>
    </w:pPr>
    <w:r>
      <w:rPr>
        <w:noProof/>
        <w:lang w:eastAsia="zh-CN"/>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page">
                <wp:posOffset>10227945</wp:posOffset>
              </wp:positionV>
              <wp:extent cx="7560310" cy="273685"/>
              <wp:effectExtent l="0" t="0" r="2540" b="4445"/>
              <wp:wrapNone/>
              <wp:docPr id="1" name="文本框 3" descr="{&quot;HashCode&quot;:53735381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560310" cy="273685"/>
                      </a:xfrm>
                      <a:prstGeom prst="rect">
                        <a:avLst/>
                      </a:prstGeom>
                      <a:noFill/>
                      <a:ln>
                        <a:noFill/>
                      </a:ln>
                    </wps:spPr>
                    <wps:txbx>
                      <w:txbxContent>
                        <w:p w:rsidR="00CB176C">
                          <w:pPr>
                            <w:jc w:val="center"/>
                            <w:rPr>
                              <w:rFonts w:ascii="Calibri" w:hAnsi="Calibri" w:cs="Calibri"/>
                              <w:color w:val="000000"/>
                              <w:sz w:val="20"/>
                            </w:rPr>
                          </w:pPr>
                        </w:p>
                      </w:txbxContent>
                    </wps:txbx>
                    <wps:bodyPr rot="0" vert="horz" wrap="square" lIns="91440" tIns="0" rIns="254000" bIns="0" anchor="b" anchorCtr="0" upright="1"/>
                  </wps:wsp>
                </a:graphicData>
              </a:graphic>
            </wp:anchor>
          </w:drawing>
        </mc:Choice>
        <mc:Fallback>
          <w:pict>
            <v:rect id="文本框 3" o:spid="_x0000_s2049" alt="{&quot;HashCode&quot;:537353816,&quot;Height&quot;:841.0,&quot;Width&quot;:595.0,&quot;Placement&quot;:&quot;Footer&quot;,&quot;Index&quot;:&quot;Primary&quot;,&quot;Section&quot;:1,&quot;Top&quot;:0.0,&quot;Left&quot;:0.0}" style="width:595.3pt;height:21.55pt;margin-top:805.35pt;margin-left:0;mso-height-relative:page;mso-position-horizontal-relative:page;mso-position-vertical-relative:page;mso-width-relative:page;position:absolute;v-text-anchor:bottom;z-index:251659264" coordsize="21600,21600" o:allowincell="f" filled="f" stroked="f">
              <o:lock v:ext="edit" aspectratio="f"/>
              <v:textbox inset="7.2pt,0,20pt,0">
                <w:txbxContent>
                  <w:p>
                    <w:pPr>
                      <w:jc w:val="center"/>
                      <w:rPr>
                        <w:rFonts w:ascii="Calibri" w:hAnsi="Calibri" w:cs="Calibri"/>
                        <w:color w:val="000000"/>
                        <w:sz w:val="20"/>
                      </w:rPr>
                    </w:pP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176C">
    <w:pPr>
      <w:pStyle w:val="Footer"/>
      <w:snapToGrid/>
      <w:jc w:val="center"/>
      <w:rPr>
        <w:rStyle w:val="PageNumber"/>
      </w:rPr>
    </w:pPr>
    <w:r>
      <w:rPr>
        <w:rStyle w:val="PageNumber"/>
      </w:rPr>
      <w:fldChar w:fldCharType="begin"/>
    </w:r>
    <w:r>
      <w:rPr>
        <w:rStyle w:val="PageNumber"/>
        <w:highlight w:val="white"/>
      </w:rPr>
      <w:instrText xml:space="preserve">PAGE  </w:instrText>
    </w:r>
    <w:r>
      <w:rPr>
        <w:rStyle w:val="PageNumber"/>
      </w:rPr>
      <w:fldChar w:fldCharType="separate"/>
    </w:r>
    <w:r>
      <w:rPr>
        <w:rStyle w:val="PageNumber"/>
        <w:highlight w:val="white"/>
      </w:rPr>
      <w:t>41</w:t>
    </w:r>
    <w:r>
      <w:rPr>
        <w:rStyle w:val="PageNumber"/>
      </w:rPr>
      <w:fldChar w:fldCharType="end"/>
    </w:r>
  </w:p>
  <w:p w:rsidR="00CB176C">
    <w:pPr>
      <w:pStyle w:val="Footer"/>
      <w:snapToGrid/>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176C">
    <w:pPr>
      <w:pStyle w:val="Footer"/>
      <w:snapToGrid/>
    </w:pPr>
    <w:r>
      <w:rPr>
        <w:noProof/>
        <w:lang w:eastAsia="zh-CN"/>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10227945</wp:posOffset>
              </wp:positionV>
              <wp:extent cx="7560310" cy="273685"/>
              <wp:effectExtent l="0" t="0" r="2540" b="4445"/>
              <wp:wrapNone/>
              <wp:docPr id="2" name="文本框 1" descr="{&quot;HashCode&quot;:537353816,&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560310" cy="273685"/>
                      </a:xfrm>
                      <a:prstGeom prst="rect">
                        <a:avLst/>
                      </a:prstGeom>
                      <a:noFill/>
                      <a:ln>
                        <a:noFill/>
                      </a:ln>
                    </wps:spPr>
                    <wps:txbx>
                      <w:txbxContent>
                        <w:p w:rsidR="00CB176C">
                          <w:pPr>
                            <w:jc w:val="center"/>
                            <w:rPr>
                              <w:rFonts w:ascii="Calibri" w:hAnsi="Calibri" w:cs="Calibri"/>
                              <w:color w:val="000000"/>
                              <w:sz w:val="20"/>
                            </w:rPr>
                          </w:pPr>
                        </w:p>
                      </w:txbxContent>
                    </wps:txbx>
                    <wps:bodyPr rot="0" vert="horz" wrap="square" lIns="91440" tIns="0" rIns="254000" bIns="0" anchor="b" anchorCtr="0" upright="1"/>
                  </wps:wsp>
                </a:graphicData>
              </a:graphic>
            </wp:anchor>
          </w:drawing>
        </mc:Choice>
        <mc:Fallback>
          <w:pict>
            <v:rect id="文本框 1" o:spid="_x0000_s2050" alt="{&quot;HashCode&quot;:537353816,&quot;Height&quot;:841.0,&quot;Width&quot;:595.0,&quot;Placement&quot;:&quot;Footer&quot;,&quot;Index&quot;:&quot;Primary&quot;,&quot;Section&quot;:3,&quot;Top&quot;:0.0,&quot;Left&quot;:0.0}" style="width:595.3pt;height:21.55pt;margin-top:805.35pt;margin-left:0;mso-height-relative:page;mso-position-horizontal-relative:page;mso-position-vertical-relative:page;mso-width-relative:page;position:absolute;v-text-anchor:bottom;z-index:251661312" coordsize="21600,21600" o:allowincell="f" filled="f" stroked="f">
              <o:lock v:ext="edit" aspectratio="f"/>
              <v:textbox inset="7.2pt,0,20pt,0">
                <w:txbxContent>
                  <w:p>
                    <w:pPr>
                      <w:jc w:val="center"/>
                      <w:rPr>
                        <w:rFonts w:ascii="Calibri" w:hAnsi="Calibri" w:cs="Calibri"/>
                        <w:color w:val="000000"/>
                        <w:sz w:val="20"/>
                      </w:rPr>
                    </w:pPr>
                  </w:p>
                </w:txbxContent>
              </v:textbox>
            </v:rect>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176C">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176C"/>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程才">
    <w15:presenceInfo w15:providerId="None" w15:userId="程才"/>
  </w15:person>
  <w15:person w15:author="销售新规6">
    <w15:presenceInfo w15:providerId="None" w15:userId="销售新规6"/>
  </w15:person>
  <w15:person w15:author="销售新规1">
    <w15:presenceInfo w15:providerId="None" w15:userId="销售新规1"/>
  </w15:person>
  <w15:person w15:author="销售新规4">
    <w15:presenceInfo w15:providerId="None" w15:userId="销售新规4"/>
  </w15:person>
  <w15:person w15:author="销售新规2">
    <w15:presenceInfo w15:providerId="None" w15:userId="销售新规2"/>
  </w15:person>
  <w15:person w15:author="徐伟">
    <w15:presenceInfo w15:providerId="None" w15:userId="徐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characterSpacingControl w:val="compressPunctuation"/>
  <w:compat>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937"/>
    <w:rsid w:val="BBFF2CF8"/>
    <w:rsid w:val="F7FF67FD"/>
    <w:rsid w:val="000125BE"/>
    <w:rsid w:val="000A4326"/>
    <w:rsid w:val="00114069"/>
    <w:rsid w:val="0014452D"/>
    <w:rsid w:val="00192F77"/>
    <w:rsid w:val="001A6200"/>
    <w:rsid w:val="001C500E"/>
    <w:rsid w:val="001F6B07"/>
    <w:rsid w:val="00201D9E"/>
    <w:rsid w:val="00266638"/>
    <w:rsid w:val="0040139B"/>
    <w:rsid w:val="004759C0"/>
    <w:rsid w:val="005A06C7"/>
    <w:rsid w:val="005E4F07"/>
    <w:rsid w:val="00611A84"/>
    <w:rsid w:val="00691D90"/>
    <w:rsid w:val="006E7664"/>
    <w:rsid w:val="00746800"/>
    <w:rsid w:val="00755465"/>
    <w:rsid w:val="007671E4"/>
    <w:rsid w:val="007A76E3"/>
    <w:rsid w:val="007B0944"/>
    <w:rsid w:val="007D1E1D"/>
    <w:rsid w:val="007E075B"/>
    <w:rsid w:val="0088552F"/>
    <w:rsid w:val="008A1AD9"/>
    <w:rsid w:val="008C076D"/>
    <w:rsid w:val="009E3937"/>
    <w:rsid w:val="009F7DB5"/>
    <w:rsid w:val="00AB2B7A"/>
    <w:rsid w:val="00AE1303"/>
    <w:rsid w:val="00AF0BE8"/>
    <w:rsid w:val="00BD30E7"/>
    <w:rsid w:val="00C34D16"/>
    <w:rsid w:val="00CB176C"/>
    <w:rsid w:val="00D14B36"/>
    <w:rsid w:val="00D31638"/>
    <w:rsid w:val="00D55496"/>
    <w:rsid w:val="00E31E38"/>
    <w:rsid w:val="00E71B71"/>
    <w:rsid w:val="00ED5ACF"/>
    <w:rsid w:val="00ED7703"/>
    <w:rsid w:val="00FB7C2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15:docId w15:val="{2D6CAB94-5C5D-45FC-A585-259AC5E50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uiPriority="39"/>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iPriority="0"/>
    <w:lsdException w:name="footnote text" w:semiHidden="1" w:unhideWhenUsed="1" w:qFormat="1"/>
    <w:lsdException w:name="annotation text" w:uiPriority="0" w:qFormat="1"/>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lsdException w:name="Block Text" w:semiHidden="1" w:unhideWhenUsed="1"/>
    <w:lsdException w:name="FollowedHyperlink" w:uiPriority="0"/>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Times New Roman" w:hAnsi="Times New Roman" w:cs="Times New Roman"/>
      <w:sz w:val="21"/>
      <w:szCs w:val="24"/>
      <w:lang w:eastAsia="en-US"/>
    </w:rPr>
  </w:style>
  <w:style w:type="paragraph" w:styleId="Heading1">
    <w:name w:val="heading 1"/>
    <w:basedOn w:val="Normal"/>
    <w:next w:val="Normal"/>
    <w:link w:val="1"/>
    <w:uiPriority w:val="9"/>
    <w:qFormat/>
    <w:pPr>
      <w:keepNext/>
      <w:keepLines/>
      <w:spacing w:before="480" w:after="200"/>
      <w:outlineLvl w:val="0"/>
    </w:pPr>
    <w:rPr>
      <w:rFonts w:ascii="Arial" w:hAnsi="Arial" w:cs="Arial"/>
      <w:sz w:val="40"/>
      <w:szCs w:val="40"/>
    </w:rPr>
  </w:style>
  <w:style w:type="paragraph" w:styleId="Heading2">
    <w:name w:val="heading 2"/>
    <w:basedOn w:val="Normal"/>
    <w:next w:val="NormalIndent"/>
    <w:link w:val="2"/>
    <w:qFormat/>
    <w:pPr>
      <w:keepNext/>
      <w:keepLines/>
      <w:spacing w:before="260" w:after="260" w:line="416" w:lineRule="auto"/>
      <w:outlineLvl w:val="1"/>
    </w:pPr>
    <w:rPr>
      <w:rFonts w:ascii="Arial" w:eastAsia="黑体" w:hAnsi="Arial"/>
      <w:b/>
      <w:sz w:val="32"/>
      <w:szCs w:val="20"/>
    </w:rPr>
  </w:style>
  <w:style w:type="paragraph" w:styleId="Heading3">
    <w:name w:val="heading 3"/>
    <w:basedOn w:val="Normal"/>
    <w:next w:val="Normal"/>
    <w:link w:val="3"/>
    <w:uiPriority w:val="9"/>
    <w:unhideWhenUsed/>
    <w:qFormat/>
    <w:pPr>
      <w:keepNext/>
      <w:keepLines/>
      <w:spacing w:before="320" w:after="200"/>
      <w:outlineLvl w:val="2"/>
    </w:pPr>
    <w:rPr>
      <w:rFonts w:ascii="Arial" w:hAnsi="Arial" w:cs="Arial"/>
      <w:sz w:val="30"/>
      <w:szCs w:val="30"/>
    </w:rPr>
  </w:style>
  <w:style w:type="paragraph" w:styleId="Heading4">
    <w:name w:val="heading 4"/>
    <w:basedOn w:val="Normal"/>
    <w:next w:val="Normal"/>
    <w:link w:val="4"/>
    <w:uiPriority w:val="9"/>
    <w:unhideWhenUsed/>
    <w:qFormat/>
    <w:pPr>
      <w:keepNext/>
      <w:keepLines/>
      <w:spacing w:before="320" w:after="200"/>
      <w:outlineLvl w:val="3"/>
    </w:pPr>
    <w:rPr>
      <w:rFonts w:ascii="Arial" w:hAnsi="Arial" w:cs="Arial"/>
      <w:b/>
      <w:bCs/>
      <w:sz w:val="26"/>
      <w:szCs w:val="26"/>
    </w:rPr>
  </w:style>
  <w:style w:type="paragraph" w:styleId="Heading5">
    <w:name w:val="heading 5"/>
    <w:basedOn w:val="Normal"/>
    <w:next w:val="Normal"/>
    <w:link w:val="5"/>
    <w:uiPriority w:val="9"/>
    <w:unhideWhenUsed/>
    <w:qFormat/>
    <w:pPr>
      <w:keepNext/>
      <w:keepLines/>
      <w:spacing w:before="320" w:after="200"/>
      <w:outlineLvl w:val="4"/>
    </w:pPr>
    <w:rPr>
      <w:rFonts w:ascii="Arial" w:hAnsi="Arial" w:cs="Arial"/>
      <w:b/>
      <w:bCs/>
      <w:sz w:val="24"/>
    </w:rPr>
  </w:style>
  <w:style w:type="paragraph" w:styleId="Heading6">
    <w:name w:val="heading 6"/>
    <w:basedOn w:val="Normal"/>
    <w:next w:val="Normal"/>
    <w:link w:val="6"/>
    <w:uiPriority w:val="9"/>
    <w:unhideWhenUsed/>
    <w:qFormat/>
    <w:pPr>
      <w:keepNext/>
      <w:keepLines/>
      <w:spacing w:before="320" w:after="200"/>
      <w:outlineLvl w:val="5"/>
    </w:pPr>
    <w:rPr>
      <w:rFonts w:ascii="Arial" w:hAnsi="Arial" w:cs="Arial"/>
      <w:b/>
      <w:bCs/>
      <w:sz w:val="22"/>
      <w:szCs w:val="22"/>
    </w:rPr>
  </w:style>
  <w:style w:type="paragraph" w:styleId="Heading7">
    <w:name w:val="heading 7"/>
    <w:basedOn w:val="Normal"/>
    <w:next w:val="Normal"/>
    <w:link w:val="7"/>
    <w:uiPriority w:val="9"/>
    <w:unhideWhenUsed/>
    <w:qFormat/>
    <w:pPr>
      <w:keepNext/>
      <w:keepLines/>
      <w:spacing w:before="320" w:after="200"/>
      <w:outlineLvl w:val="6"/>
    </w:pPr>
    <w:rPr>
      <w:rFonts w:ascii="Arial" w:hAnsi="Arial" w:cs="Arial"/>
      <w:b/>
      <w:bCs/>
      <w:i/>
      <w:iCs/>
      <w:sz w:val="22"/>
      <w:szCs w:val="22"/>
    </w:rPr>
  </w:style>
  <w:style w:type="paragraph" w:styleId="Heading8">
    <w:name w:val="heading 8"/>
    <w:basedOn w:val="Normal"/>
    <w:next w:val="Normal"/>
    <w:link w:val="8"/>
    <w:uiPriority w:val="9"/>
    <w:unhideWhenUsed/>
    <w:qFormat/>
    <w:pPr>
      <w:keepNext/>
      <w:keepLines/>
      <w:spacing w:before="320" w:after="200"/>
      <w:outlineLvl w:val="7"/>
    </w:pPr>
    <w:rPr>
      <w:rFonts w:ascii="Arial" w:hAnsi="Arial" w:cs="Arial"/>
      <w:i/>
      <w:iCs/>
      <w:sz w:val="22"/>
      <w:szCs w:val="22"/>
    </w:rPr>
  </w:style>
  <w:style w:type="paragraph" w:styleId="Heading9">
    <w:name w:val="heading 9"/>
    <w:basedOn w:val="Normal"/>
    <w:next w:val="Normal"/>
    <w:link w:val="9"/>
    <w:uiPriority w:val="9"/>
    <w:unhideWhenUsed/>
    <w:qFormat/>
    <w:pPr>
      <w:keepNext/>
      <w:keepLines/>
      <w:spacing w:before="320" w:after="200"/>
      <w:outlineLvl w:val="8"/>
    </w:pPr>
    <w:rPr>
      <w:rFonts w:ascii="Arial" w:hAnsi="Arial" w:cs="Arial"/>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firstLine="420" w:firstLineChars="200"/>
    </w:pPr>
  </w:style>
  <w:style w:type="paragraph" w:styleId="TOC7">
    <w:name w:val="toc 7"/>
    <w:basedOn w:val="Normal"/>
    <w:next w:val="Normal"/>
    <w:uiPriority w:val="39"/>
    <w:unhideWhenUsed/>
    <w:pPr>
      <w:spacing w:after="57"/>
      <w:ind w:left="1701"/>
    </w:p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paragraph" w:styleId="CommentText">
    <w:name w:val="annotation text"/>
    <w:basedOn w:val="Normal"/>
    <w:link w:val="a9"/>
    <w:qFormat/>
    <w:pPr>
      <w:jc w:val="left"/>
    </w:pPr>
    <w:rPr>
      <w:sz w:val="20"/>
    </w:rPr>
  </w:style>
  <w:style w:type="paragraph" w:styleId="BodyText">
    <w:name w:val="Body Text"/>
    <w:basedOn w:val="Normal"/>
    <w:link w:val="a6"/>
    <w:pPr>
      <w:spacing w:line="360" w:lineRule="auto"/>
    </w:pPr>
    <w:rPr>
      <w:rFonts w:ascii="仿宋_GB2312" w:eastAsia="仿宋_GB2312"/>
      <w:color w:val="000000"/>
      <w:sz w:val="24"/>
      <w:szCs w:val="28"/>
    </w:rPr>
  </w:style>
  <w:style w:type="paragraph" w:styleId="BodyTextIndent">
    <w:name w:val="Body Text Indent"/>
    <w:basedOn w:val="Normal"/>
    <w:link w:val="a7"/>
    <w:pPr>
      <w:snapToGrid w:val="0"/>
      <w:spacing w:line="560" w:lineRule="exact"/>
      <w:ind w:firstLine="480" w:firstLineChars="200"/>
    </w:pPr>
    <w:rPr>
      <w:rFonts w:eastAsia="方正仿宋简体"/>
      <w:sz w:val="24"/>
      <w:szCs w:val="30"/>
    </w:rPr>
  </w:style>
  <w:style w:type="paragraph" w:styleId="TOC5">
    <w:name w:val="toc 5"/>
    <w:basedOn w:val="Normal"/>
    <w:next w:val="Normal"/>
    <w:uiPriority w:val="39"/>
    <w:unhideWhenUsed/>
    <w:pPr>
      <w:spacing w:after="57"/>
      <w:ind w:left="1134"/>
    </w:pPr>
  </w:style>
  <w:style w:type="paragraph" w:styleId="TOC3">
    <w:name w:val="toc 3"/>
    <w:basedOn w:val="Normal"/>
    <w:next w:val="Normal"/>
    <w:uiPriority w:val="39"/>
    <w:unhideWhenUsed/>
    <w:pPr>
      <w:spacing w:after="57"/>
      <w:ind w:left="567"/>
    </w:pPr>
  </w:style>
  <w:style w:type="paragraph" w:styleId="TOC8">
    <w:name w:val="toc 8"/>
    <w:basedOn w:val="Normal"/>
    <w:next w:val="Normal"/>
    <w:uiPriority w:val="39"/>
    <w:unhideWhenUsed/>
    <w:pPr>
      <w:spacing w:after="57"/>
      <w:ind w:left="1984"/>
    </w:pPr>
  </w:style>
  <w:style w:type="paragraph" w:styleId="BodyTextIndent2">
    <w:name w:val="Body Text Indent 2"/>
    <w:basedOn w:val="Normal"/>
    <w:link w:val="20"/>
    <w:pPr>
      <w:spacing w:line="360" w:lineRule="auto"/>
      <w:ind w:firstLine="525"/>
    </w:pPr>
    <w:rPr>
      <w:rFonts w:ascii="宋体" w:hAnsi="宋体"/>
      <w:sz w:val="28"/>
      <w:szCs w:val="20"/>
    </w:rPr>
  </w:style>
  <w:style w:type="paragraph" w:styleId="EndnoteText">
    <w:name w:val="endnote text"/>
    <w:basedOn w:val="Normal"/>
    <w:link w:val="a3"/>
    <w:uiPriority w:val="99"/>
    <w:semiHidden/>
    <w:unhideWhenUsed/>
    <w:rPr>
      <w:sz w:val="20"/>
    </w:rPr>
  </w:style>
  <w:style w:type="paragraph" w:styleId="BalloonText">
    <w:name w:val="Balloon Text"/>
    <w:basedOn w:val="Normal"/>
    <w:link w:val="a8"/>
    <w:semiHidden/>
    <w:rPr>
      <w:sz w:val="18"/>
      <w:szCs w:val="18"/>
    </w:rPr>
  </w:style>
  <w:style w:type="paragraph" w:styleId="Footer">
    <w:name w:val="footer"/>
    <w:basedOn w:val="Normal"/>
    <w:link w:val="a5"/>
    <w:unhideWhenUsed/>
    <w:pPr>
      <w:tabs>
        <w:tab w:val="center" w:pos="4153"/>
        <w:tab w:val="right" w:pos="8306"/>
      </w:tabs>
      <w:snapToGrid w:val="0"/>
      <w:jc w:val="left"/>
    </w:pPr>
    <w:rPr>
      <w:sz w:val="18"/>
      <w:szCs w:val="18"/>
    </w:rPr>
  </w:style>
  <w:style w:type="paragraph" w:styleId="Header">
    <w:name w:val="header"/>
    <w:basedOn w:val="Normal"/>
    <w:link w:val="a4"/>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semiHidden/>
  </w:style>
  <w:style w:type="paragraph" w:styleId="TOC4">
    <w:name w:val="toc 4"/>
    <w:basedOn w:val="Normal"/>
    <w:next w:val="Normal"/>
    <w:uiPriority w:val="39"/>
    <w:unhideWhenUsed/>
    <w:pPr>
      <w:spacing w:after="57"/>
      <w:ind w:left="850"/>
    </w:pPr>
  </w:style>
  <w:style w:type="paragraph" w:styleId="Subtitle">
    <w:name w:val="Subtitle"/>
    <w:basedOn w:val="Normal"/>
    <w:next w:val="Normal"/>
    <w:link w:val="a0"/>
    <w:uiPriority w:val="11"/>
    <w:qFormat/>
    <w:pPr>
      <w:spacing w:before="200" w:after="200"/>
    </w:pPr>
    <w:rPr>
      <w:sz w:val="24"/>
    </w:rPr>
  </w:style>
  <w:style w:type="paragraph" w:styleId="FootnoteText">
    <w:name w:val="footnote text"/>
    <w:basedOn w:val="Normal"/>
    <w:link w:val="a11"/>
    <w:uiPriority w:val="99"/>
    <w:semiHidden/>
    <w:unhideWhenUsed/>
    <w:qFormat/>
    <w:pPr>
      <w:snapToGrid w:val="0"/>
      <w:jc w:val="left"/>
    </w:pPr>
    <w:rPr>
      <w:sz w:val="18"/>
      <w:szCs w:val="18"/>
    </w:rPr>
  </w:style>
  <w:style w:type="paragraph" w:styleId="TOC6">
    <w:name w:val="toc 6"/>
    <w:basedOn w:val="Normal"/>
    <w:next w:val="Normal"/>
    <w:uiPriority w:val="39"/>
    <w:unhideWhenUsed/>
    <w:pPr>
      <w:spacing w:after="57"/>
      <w:ind w:left="1417"/>
    </w:pPr>
  </w:style>
  <w:style w:type="paragraph" w:styleId="BodyTextIndent3">
    <w:name w:val="Body Text Indent 3"/>
    <w:basedOn w:val="Normal"/>
    <w:link w:val="30"/>
    <w:pPr>
      <w:snapToGrid w:val="0"/>
      <w:ind w:firstLine="480" w:firstLineChars="200"/>
    </w:pPr>
    <w:rPr>
      <w:rFonts w:ascii="仿宋_GB2312" w:eastAsia="仿宋_GB2312" w:hAnsi="宋体"/>
      <w:color w:val="000000"/>
      <w:sz w:val="24"/>
    </w:rPr>
  </w:style>
  <w:style w:type="paragraph" w:styleId="TableofFigures">
    <w:name w:val="table of figures"/>
    <w:basedOn w:val="Normal"/>
    <w:next w:val="Normal"/>
    <w:uiPriority w:val="99"/>
    <w:unhideWhenUsed/>
  </w:style>
  <w:style w:type="paragraph" w:styleId="TOC2">
    <w:name w:val="toc 2"/>
    <w:basedOn w:val="Normal"/>
    <w:next w:val="Normal"/>
    <w:uiPriority w:val="39"/>
    <w:pPr>
      <w:tabs>
        <w:tab w:val="right" w:leader="dot" w:pos="8494"/>
      </w:tabs>
      <w:ind w:left="420" w:leftChars="200"/>
    </w:pPr>
  </w:style>
  <w:style w:type="paragraph" w:styleId="TOC9">
    <w:name w:val="toc 9"/>
    <w:basedOn w:val="Normal"/>
    <w:next w:val="Normal"/>
    <w:uiPriority w:val="39"/>
    <w:unhideWhenUsed/>
    <w:pPr>
      <w:spacing w:after="57"/>
      <w:ind w:left="2268"/>
    </w:pPr>
  </w:style>
  <w:style w:type="paragraph" w:styleId="HTMLPreformatted">
    <w:name w:val="HTML Preformatted"/>
    <w:basedOn w:val="Normal"/>
    <w:link w:val="HTML"/>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NormalWeb">
    <w:name w:val="Normal (Web)"/>
    <w:basedOn w:val="Normal"/>
    <w:pPr>
      <w:widowControl/>
      <w:spacing w:before="100" w:beforeAutospacing="1" w:after="100" w:afterAutospacing="1"/>
      <w:jc w:val="left"/>
    </w:pPr>
    <w:rPr>
      <w:rFonts w:ascii="Arial Unicode MS" w:hAnsi="Arial Unicode MS" w:cs="Arial Unicode MS"/>
      <w:sz w:val="24"/>
    </w:rPr>
  </w:style>
  <w:style w:type="paragraph" w:styleId="Title">
    <w:name w:val="Title"/>
    <w:basedOn w:val="Normal"/>
    <w:next w:val="Normal"/>
    <w:link w:val="a"/>
    <w:uiPriority w:val="10"/>
    <w:qFormat/>
    <w:pPr>
      <w:spacing w:before="300" w:after="200"/>
      <w:contextualSpacing/>
    </w:pPr>
    <w:rPr>
      <w:sz w:val="48"/>
      <w:szCs w:val="48"/>
    </w:rPr>
  </w:style>
  <w:style w:type="paragraph" w:styleId="CommentSubject">
    <w:name w:val="annotation subject"/>
    <w:basedOn w:val="CommentText"/>
    <w:next w:val="CommentText"/>
    <w:link w:val="a10"/>
    <w:rPr>
      <w:b/>
      <w:bCs/>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Strong">
    <w:name w:val="Strong"/>
    <w:qFormat/>
    <w:rPr>
      <w:b/>
      <w:bCs/>
    </w:rPr>
  </w:style>
  <w:style w:type="character" w:styleId="EndnoteReference">
    <w:name w:val="endnote reference"/>
    <w:basedOn w:val="DefaultParagraphFont"/>
    <w:uiPriority w:val="99"/>
    <w:semiHidden/>
    <w:unhideWhenUsed/>
    <w:rPr>
      <w:vertAlign w:val="superscript"/>
    </w:rPr>
  </w:style>
  <w:style w:type="character" w:styleId="PageNumber">
    <w:name w:val="page number"/>
    <w:basedOn w:val="DefaultParagraphFont"/>
  </w:style>
  <w:style w:type="character" w:styleId="FollowedHyperlink">
    <w:name w:val="FollowedHyperlink"/>
    <w:rPr>
      <w:color w:val="800080"/>
      <w:u w:val="single"/>
    </w:rPr>
  </w:style>
  <w:style w:type="character" w:styleId="Hyperlink">
    <w:name w:val="Hyperlink"/>
    <w:uiPriority w:val="99"/>
    <w:rPr>
      <w:color w:val="0000FF"/>
      <w:u w:val="single"/>
    </w:rPr>
  </w:style>
  <w:style w:type="character" w:styleId="CommentReference">
    <w:name w:val="annotation reference"/>
    <w:qFormat/>
    <w:rPr>
      <w:sz w:val="21"/>
      <w:szCs w:val="21"/>
    </w:rPr>
  </w:style>
  <w:style w:type="character" w:styleId="FootnoteReference">
    <w:name w:val="footnote reference"/>
    <w:uiPriority w:val="99"/>
    <w:semiHidden/>
    <w:unhideWhenUsed/>
    <w:rPr>
      <w:vertAlign w:val="superscript"/>
    </w:rPr>
  </w:style>
  <w:style w:type="character" w:customStyle="1" w:styleId="1">
    <w:name w:val="标题 1 字符"/>
    <w:basedOn w:val="DefaultParagraphFont"/>
    <w:link w:val="Heading1"/>
    <w:uiPriority w:val="9"/>
    <w:qFormat/>
    <w:rPr>
      <w:rFonts w:ascii="Arial" w:hAnsi="Arial" w:cs="Arial"/>
      <w:sz w:val="40"/>
      <w:szCs w:val="40"/>
    </w:rPr>
  </w:style>
  <w:style w:type="character" w:customStyle="1" w:styleId="3">
    <w:name w:val="标题 3 字符"/>
    <w:basedOn w:val="DefaultParagraphFont"/>
    <w:link w:val="Heading3"/>
    <w:uiPriority w:val="9"/>
    <w:rPr>
      <w:rFonts w:ascii="Arial" w:hAnsi="Arial" w:cs="Arial"/>
      <w:sz w:val="30"/>
      <w:szCs w:val="30"/>
    </w:rPr>
  </w:style>
  <w:style w:type="character" w:customStyle="1" w:styleId="4">
    <w:name w:val="标题 4 字符"/>
    <w:basedOn w:val="DefaultParagraphFont"/>
    <w:link w:val="Heading4"/>
    <w:uiPriority w:val="9"/>
    <w:rPr>
      <w:rFonts w:ascii="Arial" w:hAnsi="Arial" w:cs="Arial"/>
      <w:b/>
      <w:bCs/>
      <w:sz w:val="26"/>
      <w:szCs w:val="26"/>
    </w:rPr>
  </w:style>
  <w:style w:type="character" w:customStyle="1" w:styleId="5">
    <w:name w:val="标题 5 字符"/>
    <w:basedOn w:val="DefaultParagraphFont"/>
    <w:link w:val="Heading5"/>
    <w:uiPriority w:val="9"/>
    <w:rPr>
      <w:rFonts w:ascii="Arial" w:hAnsi="Arial" w:cs="Arial"/>
      <w:b/>
      <w:bCs/>
      <w:sz w:val="24"/>
      <w:szCs w:val="24"/>
    </w:rPr>
  </w:style>
  <w:style w:type="character" w:customStyle="1" w:styleId="6">
    <w:name w:val="标题 6 字符"/>
    <w:basedOn w:val="DefaultParagraphFont"/>
    <w:link w:val="Heading6"/>
    <w:uiPriority w:val="9"/>
    <w:rPr>
      <w:rFonts w:ascii="Arial" w:hAnsi="Arial" w:cs="Arial"/>
      <w:b/>
      <w:bCs/>
      <w:sz w:val="22"/>
      <w:szCs w:val="22"/>
    </w:rPr>
  </w:style>
  <w:style w:type="character" w:customStyle="1" w:styleId="7">
    <w:name w:val="标题 7 字符"/>
    <w:basedOn w:val="DefaultParagraphFont"/>
    <w:link w:val="Heading7"/>
    <w:uiPriority w:val="9"/>
    <w:rPr>
      <w:rFonts w:ascii="Arial" w:hAnsi="Arial" w:cs="Arial"/>
      <w:b/>
      <w:bCs/>
      <w:i/>
      <w:iCs/>
      <w:sz w:val="22"/>
      <w:szCs w:val="22"/>
    </w:rPr>
  </w:style>
  <w:style w:type="character" w:customStyle="1" w:styleId="8">
    <w:name w:val="标题 8 字符"/>
    <w:basedOn w:val="DefaultParagraphFont"/>
    <w:link w:val="Heading8"/>
    <w:uiPriority w:val="9"/>
    <w:rPr>
      <w:rFonts w:ascii="Arial" w:hAnsi="Arial" w:cs="Arial"/>
      <w:i/>
      <w:iCs/>
      <w:sz w:val="22"/>
      <w:szCs w:val="22"/>
    </w:rPr>
  </w:style>
  <w:style w:type="character" w:customStyle="1" w:styleId="9">
    <w:name w:val="标题 9 字符"/>
    <w:basedOn w:val="DefaultParagraphFont"/>
    <w:link w:val="Heading9"/>
    <w:uiPriority w:val="9"/>
    <w:rPr>
      <w:rFonts w:ascii="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rPr>
      <w:sz w:val="21"/>
      <w:szCs w:val="22"/>
      <w:lang w:eastAsia="en-US"/>
    </w:rPr>
  </w:style>
  <w:style w:type="character" w:customStyle="1" w:styleId="a">
    <w:name w:val="标题 字符"/>
    <w:basedOn w:val="DefaultParagraphFont"/>
    <w:link w:val="Title"/>
    <w:uiPriority w:val="10"/>
    <w:rPr>
      <w:sz w:val="48"/>
      <w:szCs w:val="48"/>
    </w:rPr>
  </w:style>
  <w:style w:type="character" w:customStyle="1" w:styleId="a0">
    <w:name w:val="副标题 字符"/>
    <w:basedOn w:val="DefaultParagraphFont"/>
    <w:link w:val="Subtitle"/>
    <w:uiPriority w:val="11"/>
    <w:rPr>
      <w:sz w:val="24"/>
      <w:szCs w:val="24"/>
    </w:rPr>
  </w:style>
  <w:style w:type="paragraph" w:styleId="Quote">
    <w:name w:val="Quote"/>
    <w:basedOn w:val="Normal"/>
    <w:next w:val="Normal"/>
    <w:link w:val="a1"/>
    <w:uiPriority w:val="29"/>
    <w:qFormat/>
    <w:pPr>
      <w:ind w:left="720" w:right="720"/>
    </w:pPr>
    <w:rPr>
      <w:i/>
    </w:rPr>
  </w:style>
  <w:style w:type="character" w:customStyle="1" w:styleId="a1">
    <w:name w:val="引用 字符"/>
    <w:link w:val="Quote"/>
    <w:uiPriority w:val="29"/>
    <w:rPr>
      <w:i/>
    </w:rPr>
  </w:style>
  <w:style w:type="paragraph" w:styleId="IntenseQuote">
    <w:name w:val="Intense Quote"/>
    <w:basedOn w:val="Normal"/>
    <w:next w:val="Normal"/>
    <w:link w:val="a2"/>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2">
    <w:name w:val="明显引用 字符"/>
    <w:link w:val="IntenseQuote"/>
    <w:uiPriority w:val="30"/>
    <w:rPr>
      <w:i/>
    </w:rPr>
  </w:style>
  <w:style w:type="character" w:customStyle="1" w:styleId="a3">
    <w:name w:val="尾注文本 字符"/>
    <w:link w:val="EndnoteText"/>
    <w:uiPriority w:val="99"/>
    <w:rPr>
      <w:sz w:val="20"/>
    </w:rPr>
  </w:style>
  <w:style w:type="character" w:customStyle="1" w:styleId="a4">
    <w:name w:val="页眉 字符"/>
    <w:basedOn w:val="DefaultParagraphFont"/>
    <w:link w:val="Header"/>
    <w:rPr>
      <w:sz w:val="18"/>
      <w:szCs w:val="18"/>
    </w:rPr>
  </w:style>
  <w:style w:type="character" w:customStyle="1" w:styleId="a5">
    <w:name w:val="页脚 字符"/>
    <w:basedOn w:val="DefaultParagraphFont"/>
    <w:link w:val="Footer"/>
    <w:rPr>
      <w:sz w:val="18"/>
      <w:szCs w:val="18"/>
    </w:rPr>
  </w:style>
  <w:style w:type="character" w:customStyle="1" w:styleId="2">
    <w:name w:val="标题 2 字符"/>
    <w:basedOn w:val="DefaultParagraphFont"/>
    <w:link w:val="Heading2"/>
    <w:rPr>
      <w:rFonts w:ascii="Arial" w:eastAsia="黑体" w:hAnsi="Arial" w:cs="Times New Roman"/>
      <w:b/>
      <w:sz w:val="32"/>
      <w:szCs w:val="20"/>
    </w:rPr>
  </w:style>
  <w:style w:type="character" w:customStyle="1" w:styleId="a6">
    <w:name w:val="正文文本 字符"/>
    <w:basedOn w:val="DefaultParagraphFont"/>
    <w:link w:val="BodyText"/>
    <w:rPr>
      <w:rFonts w:ascii="仿宋_GB2312" w:eastAsia="仿宋_GB2312" w:hAnsi="Times New Roman" w:cs="Times New Roman"/>
      <w:color w:val="000000"/>
      <w:sz w:val="24"/>
      <w:szCs w:val="28"/>
    </w:rPr>
  </w:style>
  <w:style w:type="character" w:customStyle="1" w:styleId="read">
    <w:name w:val="read"/>
    <w:basedOn w:val="DefaultParagraphFont"/>
  </w:style>
  <w:style w:type="character" w:customStyle="1" w:styleId="a7">
    <w:name w:val="正文文本缩进 字符"/>
    <w:basedOn w:val="DefaultParagraphFont"/>
    <w:link w:val="BodyTextIndent"/>
    <w:rPr>
      <w:rFonts w:ascii="Times New Roman" w:eastAsia="方正仿宋简体" w:hAnsi="Times New Roman" w:cs="Times New Roman"/>
      <w:sz w:val="24"/>
      <w:szCs w:val="30"/>
    </w:rPr>
  </w:style>
  <w:style w:type="character" w:customStyle="1" w:styleId="20">
    <w:name w:val="正文文本缩进 2 字符"/>
    <w:basedOn w:val="DefaultParagraphFont"/>
    <w:link w:val="BodyTextIndent2"/>
    <w:rPr>
      <w:rFonts w:ascii="宋体" w:eastAsia="宋体" w:hAnsi="宋体" w:cs="Times New Roman"/>
      <w:sz w:val="28"/>
      <w:szCs w:val="20"/>
    </w:rPr>
  </w:style>
  <w:style w:type="character" w:customStyle="1" w:styleId="30">
    <w:name w:val="正文文本缩进 3 字符"/>
    <w:basedOn w:val="DefaultParagraphFont"/>
    <w:link w:val="BodyTextIndent3"/>
    <w:rPr>
      <w:rFonts w:ascii="仿宋_GB2312" w:eastAsia="仿宋_GB2312" w:hAnsi="宋体" w:cs="Times New Roman"/>
      <w:color w:val="000000"/>
      <w:sz w:val="24"/>
      <w:szCs w:val="24"/>
    </w:rPr>
  </w:style>
  <w:style w:type="character" w:customStyle="1" w:styleId="a8">
    <w:name w:val="批注框文本 字符"/>
    <w:basedOn w:val="DefaultParagraphFont"/>
    <w:link w:val="BalloonText"/>
    <w:semiHidden/>
    <w:rPr>
      <w:rFonts w:ascii="Times New Roman" w:eastAsia="宋体" w:hAnsi="Times New Roman" w:cs="Times New Roman"/>
      <w:sz w:val="18"/>
      <w:szCs w:val="18"/>
    </w:rPr>
  </w:style>
  <w:style w:type="character" w:customStyle="1" w:styleId="Char">
    <w:name w:val="批注文字 Char"/>
    <w:basedOn w:val="DefaultParagraphFont"/>
    <w:rPr>
      <w:rFonts w:ascii="Times New Roman" w:eastAsia="宋体" w:hAnsi="Times New Roman" w:cs="Times New Roman"/>
      <w:szCs w:val="24"/>
    </w:rPr>
  </w:style>
  <w:style w:type="character" w:customStyle="1" w:styleId="a9">
    <w:name w:val="批注文字 字符"/>
    <w:link w:val="CommentText"/>
    <w:qFormat/>
    <w:rPr>
      <w:rFonts w:ascii="Times New Roman" w:eastAsia="宋体" w:hAnsi="Times New Roman" w:cs="Times New Roman"/>
      <w:sz w:val="20"/>
      <w:szCs w:val="24"/>
    </w:rPr>
  </w:style>
  <w:style w:type="character" w:customStyle="1" w:styleId="HTML">
    <w:name w:val="HTML 预设格式 字符"/>
    <w:basedOn w:val="DefaultParagraphFont"/>
    <w:link w:val="HTMLPreformatted"/>
    <w:uiPriority w:val="99"/>
    <w:rPr>
      <w:rFonts w:ascii="宋体" w:eastAsia="宋体" w:hAnsi="宋体" w:cs="Times New Roman"/>
      <w:sz w:val="24"/>
      <w:szCs w:val="24"/>
    </w:rPr>
  </w:style>
  <w:style w:type="character" w:customStyle="1" w:styleId="a10">
    <w:name w:val="批注主题 字符"/>
    <w:basedOn w:val="Char"/>
    <w:link w:val="CommentSubject"/>
    <w:rPr>
      <w:rFonts w:ascii="Times New Roman" w:eastAsia="宋体" w:hAnsi="Times New Roman" w:cs="Times New Roman"/>
      <w:b/>
      <w:bCs/>
      <w:sz w:val="20"/>
      <w:szCs w:val="24"/>
    </w:rPr>
  </w:style>
  <w:style w:type="character" w:customStyle="1" w:styleId="a11">
    <w:name w:val="脚注文本 字符"/>
    <w:basedOn w:val="DefaultParagraphFont"/>
    <w:link w:val="FootnoteText"/>
    <w:uiPriority w:val="99"/>
    <w:semiHidden/>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4.xml" /><Relationship Id="rId11" Type="http://schemas.openxmlformats.org/officeDocument/2006/relationships/theme" Target="theme/theme1.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eader" Target="header1.xml" /><Relationship Id="rId8" Type="http://schemas.openxmlformats.org/officeDocument/2006/relationships/footer" Target="footer3.xml" /><Relationship Id="rId9" Type="http://schemas.openxmlformats.org/officeDocument/2006/relationships/header" Target="header2.xml" /></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43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